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png" ContentType="image/png"/>
  <Override PartName="/word/media/rId38.png" ContentType="image/png"/>
  <Override PartName="/word/media/rId21.png" ContentType="image/png"/>
  <Override PartName="/word/media/rId56.png" ContentType="image/png"/>
  <Override PartName="/word/media/rId52.png" ContentType="image/png"/>
  <Override PartName="/word/media/rId4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Hire</w:t>
      </w:r>
      <w:r>
        <w:t xml:space="preserve"> </w:t>
      </w:r>
      <w:r>
        <w:t xml:space="preserve">Ed:</w:t>
      </w:r>
      <w:r>
        <w:t xml:space="preserve"> </w:t>
      </w:r>
      <w:r>
        <w:t xml:space="preserve">Job</w:t>
      </w:r>
      <w:r>
        <w:t xml:space="preserve"> </w:t>
      </w:r>
      <w:r>
        <w:t xml:space="preserve">Market</w:t>
      </w:r>
      <w:r>
        <w:t xml:space="preserve"> </w:t>
      </w:r>
      <w:r>
        <w:t xml:space="preserve">Dynamics</w:t>
      </w:r>
      <w:r>
        <w:t xml:space="preserve"> </w:t>
      </w:r>
      <w:r>
        <w:t xml:space="preserve">for</w:t>
      </w:r>
      <w:r>
        <w:t xml:space="preserve"> </w:t>
      </w:r>
      <w:r>
        <w:t xml:space="preserve">Tenure-Track</w:t>
      </w:r>
      <w:r>
        <w:t xml:space="preserve"> </w:t>
      </w:r>
      <w:r>
        <w:t xml:space="preserve">Faculty</w:t>
      </w:r>
      <w:r>
        <w:t xml:space="preserve"> </w:t>
      </w:r>
      <w:r>
        <w:t xml:space="preserve">Positions</w:t>
      </w:r>
      <w:r>
        <w:t xml:space="preserve"> </w:t>
      </w:r>
      <w:r>
        <w:t xml:space="preserve">in</w:t>
      </w:r>
      <w:r>
        <w:t xml:space="preserve"> </w:t>
      </w:r>
      <w:r>
        <w:t xml:space="preserve">Archaeology</w:t>
      </w:r>
    </w:p>
    <w:p>
      <w:pPr>
        <w:pStyle w:val="Author"/>
      </w:pP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Anne Marie Poole</w:t>
      </w:r>
      <w:r>
        <w:rPr>
          <w:vertAlign w:val="superscript"/>
        </w:rPr>
        <w:t xml:space="preserve">1</w:t>
      </w:r>
      <w:r>
        <w:t xml:space="preserve">,</w:t>
      </w:r>
      <w:r>
        <w:t xml:space="preserve"> </w:t>
      </w:r>
      <w:r>
        <w:t xml:space="preserve">Ailin Zhang</w:t>
      </w:r>
      <w:r>
        <w:rPr>
          <w:vertAlign w:val="superscript"/>
        </w:rPr>
        <w:t xml:space="preserve">1</w:t>
      </w:r>
      <w:r>
        <w:t xml:space="preserve">,</w:t>
      </w:r>
      <w:r>
        <w:t xml:space="preserve"> </w:t>
      </w:r>
      <w:r>
        <w:t xml:space="preserve">Setareh Shafizadeh</w:t>
      </w:r>
      <w:r>
        <w:rPr>
          <w:vertAlign w:val="superscript"/>
        </w:rPr>
        <w:t xml:space="preserve">1</w:t>
      </w:r>
      <w:r>
        <w:t xml:space="preserve">,</w:t>
      </w:r>
      <w:r>
        <w:t xml:space="preserve"> </w:t>
      </w:r>
      <w:r>
        <w:t xml:space="preserve">and</w:t>
      </w:r>
      <w:r>
        <w:t xml:space="preserve"> </w:t>
      </w:r>
      <w:r>
        <w:t xml:space="preserve">Jess Beck</w:t>
      </w:r>
      <w:r>
        <w:rPr>
          <w:vertAlign w:val="superscript"/>
        </w:rPr>
        <w:t xml:space="preserve">2</w:t>
      </w:r>
    </w:p>
    <w:p>
      <w:pPr>
        <w:pStyle w:val="Date"/>
      </w:pPr>
      <w:r>
        <w:t xml:space="preserve">January</w:t>
      </w:r>
      <w:r>
        <w:t xml:space="preserve"> </w:t>
      </w:r>
      <w:r>
        <w:t xml:space="preserve">21,</w:t>
      </w:r>
      <w:r>
        <w:t xml:space="preserve"> </w:t>
      </w:r>
      <w:r>
        <w:t xml:space="preserve">2025</w:t>
      </w:r>
    </w:p>
    <w:p>
      <w:pPr>
        <w:pStyle w:val="AbstractTitle"/>
      </w:pPr>
      <w:r>
        <w:t xml:space="preserve">Abstract</w:t>
      </w:r>
    </w:p>
    <w:p>
      <w:pPr>
        <w:pStyle w:val="Abstract"/>
      </w:pPr>
      <w:r>
        <w:t xml:space="preserve">Many</w:t>
      </w:r>
      <w:r>
        <w:t xml:space="preserve"> </w:t>
      </w:r>
      <w:r>
        <w:t xml:space="preserve">archaeology</w:t>
      </w:r>
      <w:r>
        <w:t xml:space="preserve"> </w:t>
      </w:r>
      <w:r>
        <w:t xml:space="preserve">graduate</w:t>
      </w:r>
      <w:r>
        <w:t xml:space="preserve"> </w:t>
      </w:r>
      <w:r>
        <w:t xml:space="preserve">students</w:t>
      </w:r>
      <w:r>
        <w:t xml:space="preserve"> </w:t>
      </w:r>
      <w:r>
        <w:t xml:space="preserve">pursue</w:t>
      </w:r>
      <w:r>
        <w:t xml:space="preserve"> </w:t>
      </w:r>
      <w:r>
        <w:t xml:space="preserve">advanced</w:t>
      </w:r>
      <w:r>
        <w:t xml:space="preserve"> </w:t>
      </w:r>
      <w:r>
        <w:t xml:space="preserve">degrees</w:t>
      </w:r>
      <w:r>
        <w:t xml:space="preserve"> </w:t>
      </w:r>
      <w:r>
        <w:t xml:space="preserve">in</w:t>
      </w:r>
      <w:r>
        <w:t xml:space="preserve"> </w:t>
      </w:r>
      <w:r>
        <w:t xml:space="preserve">the</w:t>
      </w:r>
      <w:r>
        <w:t xml:space="preserve"> </w:t>
      </w:r>
      <w:r>
        <w:t xml:space="preserve">hope</w:t>
      </w:r>
      <w:r>
        <w:t xml:space="preserve"> </w:t>
      </w:r>
      <w:r>
        <w:t xml:space="preserve">of</w:t>
      </w:r>
      <w:r>
        <w:t xml:space="preserve"> </w:t>
      </w:r>
      <w:r>
        <w:t xml:space="preserve">landing</w:t>
      </w:r>
      <w:r>
        <w:t xml:space="preserve"> </w:t>
      </w:r>
      <w:r>
        <w:t xml:space="preserve">an</w:t>
      </w:r>
      <w:r>
        <w:t xml:space="preserve"> </w:t>
      </w:r>
      <w:r>
        <w:t xml:space="preserve">academic</w:t>
      </w:r>
      <w:r>
        <w:t xml:space="preserve"> </w:t>
      </w:r>
      <w:r>
        <w:t xml:space="preserve">career.</w:t>
      </w:r>
      <w:r>
        <w:t xml:space="preserve"> </w:t>
      </w:r>
      <w:r>
        <w:t xml:space="preserve">Job</w:t>
      </w:r>
      <w:r>
        <w:t xml:space="preserve"> </w:t>
      </w:r>
      <w:r>
        <w:t xml:space="preserve">listing</w:t>
      </w:r>
      <w:r>
        <w:t xml:space="preserve"> </w:t>
      </w:r>
      <w:r>
        <w:t xml:space="preserve">websites</w:t>
      </w:r>
      <w:r>
        <w:t xml:space="preserve"> </w:t>
      </w:r>
      <w:r>
        <w:t xml:space="preserve">often</w:t>
      </w:r>
      <w:r>
        <w:t xml:space="preserve"> </w:t>
      </w:r>
      <w:r>
        <w:t xml:space="preserve">serve</w:t>
      </w:r>
      <w:r>
        <w:t xml:space="preserve"> </w:t>
      </w:r>
      <w:r>
        <w:t xml:space="preserve">as</w:t>
      </w:r>
      <w:r>
        <w:t xml:space="preserve"> </w:t>
      </w:r>
      <w:r>
        <w:t xml:space="preserve">the</w:t>
      </w:r>
      <w:r>
        <w:t xml:space="preserve"> </w:t>
      </w:r>
      <w:r>
        <w:t xml:space="preserve">first</w:t>
      </w:r>
      <w:r>
        <w:t xml:space="preserve"> </w:t>
      </w:r>
      <w:r>
        <w:t xml:space="preserve">place</w:t>
      </w:r>
      <w:r>
        <w:t xml:space="preserve"> </w:t>
      </w:r>
      <w:r>
        <w:t xml:space="preserve">for</w:t>
      </w:r>
      <w:r>
        <w:t xml:space="preserve"> </w:t>
      </w:r>
      <w:r>
        <w:t xml:space="preserve">these</w:t>
      </w:r>
      <w:r>
        <w:t xml:space="preserve"> </w:t>
      </w:r>
      <w:r>
        <w:t xml:space="preserve">students</w:t>
      </w:r>
      <w:r>
        <w:t xml:space="preserve"> </w:t>
      </w:r>
      <w:r>
        <w:t xml:space="preserve">when</w:t>
      </w:r>
      <w:r>
        <w:t xml:space="preserve"> </w:t>
      </w:r>
      <w:r>
        <w:t xml:space="preserve">seeking</w:t>
      </w:r>
      <w:r>
        <w:t xml:space="preserve"> </w:t>
      </w:r>
      <w:r>
        <w:t xml:space="preserve">academic</w:t>
      </w:r>
      <w:r>
        <w:t xml:space="preserve"> </w:t>
      </w:r>
      <w:r>
        <w:t xml:space="preserve">positions.</w:t>
      </w:r>
      <w:r>
        <w:t xml:space="preserve"> </w:t>
      </w:r>
      <w:r>
        <w:t xml:space="preserve">We</w:t>
      </w:r>
      <w:r>
        <w:t xml:space="preserve"> </w:t>
      </w:r>
      <w:r>
        <w:t xml:space="preserve">examined</w:t>
      </w:r>
      <w:r>
        <w:t xml:space="preserve"> </w:t>
      </w:r>
      <w:r>
        <w:t xml:space="preserve">tenure-track</w:t>
      </w:r>
      <w:r>
        <w:t xml:space="preserve"> </w:t>
      </w:r>
      <w:r>
        <w:t xml:space="preserve">job</w:t>
      </w:r>
      <w:r>
        <w:t xml:space="preserve"> </w:t>
      </w:r>
      <w:r>
        <w:t xml:space="preserve">advertisements</w:t>
      </w:r>
      <w:r>
        <w:t xml:space="preserve"> </w:t>
      </w:r>
      <w:r>
        <w:t xml:space="preserve">over</w:t>
      </w:r>
      <w:r>
        <w:t xml:space="preserve"> </w:t>
      </w:r>
      <w:r>
        <w:t xml:space="preserve">the</w:t>
      </w:r>
      <w:r>
        <w:t xml:space="preserve"> </w:t>
      </w:r>
      <w:r>
        <w:t xml:space="preserve">past</w:t>
      </w:r>
      <w:r>
        <w:t xml:space="preserve"> </w:t>
      </w:r>
      <w:r>
        <w:t xml:space="preserve">decade</w:t>
      </w:r>
      <w:r>
        <w:t xml:space="preserve"> </w:t>
      </w:r>
      <w:r>
        <w:t xml:space="preserve">to</w:t>
      </w:r>
      <w:r>
        <w:t xml:space="preserve"> </w:t>
      </w:r>
      <w:r>
        <w:t xml:space="preserve">gain</w:t>
      </w:r>
      <w:r>
        <w:t xml:space="preserve"> </w:t>
      </w:r>
      <w:r>
        <w:t xml:space="preserve">insights</w:t>
      </w:r>
      <w:r>
        <w:t xml:space="preserve"> </w:t>
      </w:r>
      <w:r>
        <w:t xml:space="preserve">into</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for</w:t>
      </w:r>
      <w:r>
        <w:t xml:space="preserve"> </w:t>
      </w:r>
      <w:r>
        <w:t xml:space="preserve">archaeologists.</w:t>
      </w:r>
      <w:r>
        <w:t xml:space="preserve"> </w:t>
      </w:r>
      <w:r>
        <w:t xml:space="preserve">Using</w:t>
      </w:r>
      <w:r>
        <w:t xml:space="preserve"> </w:t>
      </w:r>
      <w:r>
        <w:t xml:space="preserve">data</w:t>
      </w:r>
      <w:r>
        <w:t xml:space="preserve"> </w:t>
      </w:r>
      <w:r>
        <w:t xml:space="preserve">from</w:t>
      </w:r>
      <w:r>
        <w:t xml:space="preserve"> </w:t>
      </w:r>
      <w:r>
        <w:t xml:space="preserve">the</w:t>
      </w:r>
      <w:r>
        <w:t xml:space="preserve"> </w:t>
      </w:r>
      <w:r>
        <w:t xml:space="preserve">community-edited</w:t>
      </w:r>
      <w:r>
        <w:t xml:space="preserve"> </w:t>
      </w:r>
      <w:r>
        <w:t xml:space="preserve">Academic</w:t>
      </w:r>
      <w:r>
        <w:t xml:space="preserve"> </w:t>
      </w:r>
      <w:r>
        <w:t xml:space="preserve">Jobs</w:t>
      </w:r>
      <w:r>
        <w:t xml:space="preserve"> </w:t>
      </w:r>
      <w:r>
        <w:t xml:space="preserve">Wiki</w:t>
      </w:r>
      <w:r>
        <w:t xml:space="preserve"> </w:t>
      </w:r>
      <w:r>
        <w:t xml:space="preserve">for</w:t>
      </w:r>
      <w:r>
        <w:t xml:space="preserve"> </w:t>
      </w:r>
      <w:r>
        <w:t xml:space="preserve">Archaeology,</w:t>
      </w:r>
      <w:r>
        <w:t xml:space="preserve"> </w:t>
      </w:r>
      <w:r>
        <w:t xml:space="preserve">we</w:t>
      </w:r>
      <w:r>
        <w:t xml:space="preserve"> </w:t>
      </w:r>
      <w:r>
        <w:t xml:space="preserve">examine</w:t>
      </w:r>
      <w:r>
        <w:t xml:space="preserve"> </w:t>
      </w:r>
      <w:r>
        <w:t xml:space="preserve">changes</w:t>
      </w:r>
      <w:r>
        <w:t xml:space="preserve"> </w:t>
      </w:r>
      <w:r>
        <w:t xml:space="preserve">in</w:t>
      </w:r>
      <w:r>
        <w:t xml:space="preserve"> </w:t>
      </w:r>
      <w:r>
        <w:t xml:space="preserve">the</w:t>
      </w:r>
      <w:r>
        <w:t xml:space="preserve"> </w:t>
      </w:r>
      <w:r>
        <w:t xml:space="preserve">academic</w:t>
      </w:r>
      <w:r>
        <w:t xml:space="preserve"> </w:t>
      </w:r>
      <w:r>
        <w:t xml:space="preserve">job</w:t>
      </w:r>
      <w:r>
        <w:t xml:space="preserve"> </w:t>
      </w:r>
      <w:r>
        <w:t xml:space="preserve">market</w:t>
      </w:r>
      <w:r>
        <w:t xml:space="preserve"> </w:t>
      </w:r>
      <w:r>
        <w:t xml:space="preserve">over</w:t>
      </w:r>
      <w:r>
        <w:t xml:space="preserve"> </w:t>
      </w:r>
      <w:r>
        <w:t xml:space="preserve">time.</w:t>
      </w:r>
      <w:r>
        <w:t xml:space="preserve"> </w:t>
      </w:r>
      <w:r>
        <w:t xml:space="preserve">We</w:t>
      </w:r>
      <w:r>
        <w:t xml:space="preserve"> </w:t>
      </w:r>
      <w:r>
        <w:t xml:space="preserve">analyzed</w:t>
      </w:r>
      <w:r>
        <w:t xml:space="preserve"> </w:t>
      </w:r>
      <w:r>
        <w:t xml:space="preserve">the</w:t>
      </w:r>
      <w:r>
        <w:t xml:space="preserve"> </w:t>
      </w:r>
      <w:r>
        <w:t xml:space="preserve">text</w:t>
      </w:r>
      <w:r>
        <w:t xml:space="preserve"> </w:t>
      </w:r>
      <w:r>
        <w:t xml:space="preserve">of</w:t>
      </w:r>
      <w:r>
        <w:t xml:space="preserve"> </w:t>
      </w:r>
      <w:r>
        <w:t xml:space="preserve">431</w:t>
      </w:r>
      <w:r>
        <w:t xml:space="preserve"> </w:t>
      </w:r>
      <w:r>
        <w:t xml:space="preserve">job</w:t>
      </w:r>
      <w:r>
        <w:t xml:space="preserve"> </w:t>
      </w:r>
      <w:r>
        <w:t xml:space="preserve">ads</w:t>
      </w:r>
      <w:r>
        <w:t xml:space="preserve"> </w:t>
      </w:r>
      <w:r>
        <w:t xml:space="preserve">posted</w:t>
      </w:r>
      <w:r>
        <w:t xml:space="preserve"> </w:t>
      </w:r>
      <w:r>
        <w:t xml:space="preserve">from</w:t>
      </w:r>
      <w:r>
        <w:t xml:space="preserve"> </w:t>
      </w:r>
      <w:r>
        <w:t xml:space="preserve">2013–2023.</w:t>
      </w:r>
      <w:r>
        <w:t xml:space="preserve"> </w:t>
      </w:r>
      <w:r>
        <w:t xml:space="preserve">Our</w:t>
      </w:r>
      <w:r>
        <w:t xml:space="preserve"> </w:t>
      </w:r>
      <w:r>
        <w:t xml:space="preserve">analysis</w:t>
      </w:r>
      <w:r>
        <w:t xml:space="preserve"> </w:t>
      </w:r>
      <w:r>
        <w:t xml:space="preserve">addresses</w:t>
      </w:r>
      <w:r>
        <w:t xml:space="preserve"> </w:t>
      </w:r>
      <w:r>
        <w:t xml:space="preserve">the</w:t>
      </w:r>
      <w:r>
        <w:t xml:space="preserve"> </w:t>
      </w:r>
      <w:r>
        <w:t xml:space="preserve">question</w:t>
      </w:r>
      <w:r>
        <w:t xml:space="preserve"> </w:t>
      </w:r>
      <w:r>
        <w:t xml:space="preserve">of</w:t>
      </w:r>
      <w:r>
        <w:t xml:space="preserve"> </w:t>
      </w:r>
      <w:r>
        <w:t xml:space="preserve">how</w:t>
      </w:r>
      <w:r>
        <w:t xml:space="preserve"> </w:t>
      </w:r>
      <w:r>
        <w:t xml:space="preserve">have</w:t>
      </w:r>
      <w:r>
        <w:t xml:space="preserve"> </w:t>
      </w:r>
      <w:r>
        <w:t xml:space="preserve">archaeological</w:t>
      </w:r>
      <w:r>
        <w:t xml:space="preserve"> </w:t>
      </w:r>
      <w:r>
        <w:t xml:space="preserve">topics,</w:t>
      </w:r>
      <w:r>
        <w:t xml:space="preserve"> </w:t>
      </w:r>
      <w:r>
        <w:t xml:space="preserve">methods,</w:t>
      </w:r>
      <w:r>
        <w:t xml:space="preserve"> </w:t>
      </w:r>
      <w:r>
        <w:t xml:space="preserve">and</w:t>
      </w:r>
      <w:r>
        <w:t xml:space="preserve"> </w:t>
      </w:r>
      <w:r>
        <w:t xml:space="preserve">geographic</w:t>
      </w:r>
      <w:r>
        <w:t xml:space="preserve"> </w:t>
      </w:r>
      <w:r>
        <w:t xml:space="preserve">regions</w:t>
      </w:r>
      <w:r>
        <w:t xml:space="preserve"> </w:t>
      </w:r>
      <w:r>
        <w:t xml:space="preserve">specified</w:t>
      </w:r>
      <w:r>
        <w:t xml:space="preserve"> </w:t>
      </w:r>
      <w:r>
        <w:t xml:space="preserve">in</w:t>
      </w:r>
      <w:r>
        <w:t xml:space="preserve"> </w:t>
      </w:r>
      <w:r>
        <w:t xml:space="preserve">archaeological</w:t>
      </w:r>
      <w:r>
        <w:t xml:space="preserve"> </w:t>
      </w:r>
      <w:r>
        <w:t xml:space="preserve">job</w:t>
      </w:r>
      <w:r>
        <w:t xml:space="preserve"> </w:t>
      </w:r>
      <w:r>
        <w:t xml:space="preserve">ads</w:t>
      </w:r>
      <w:r>
        <w:t xml:space="preserve"> </w:t>
      </w:r>
      <w:r>
        <w:t xml:space="preserve">shifted</w:t>
      </w:r>
      <w:r>
        <w:t xml:space="preserve"> </w:t>
      </w:r>
      <w:r>
        <w:t xml:space="preserve">over</w:t>
      </w:r>
      <w:r>
        <w:t xml:space="preserve"> </w:t>
      </w:r>
      <w:r>
        <w:t xml:space="preserve">time?</w:t>
      </w:r>
      <w:r>
        <w:t xml:space="preserve"> </w:t>
      </w:r>
      <w:r>
        <w:t xml:space="preserve">We</w:t>
      </w:r>
      <w:r>
        <w:t xml:space="preserve"> </w:t>
      </w:r>
      <w:r>
        <w:t xml:space="preserve">also</w:t>
      </w:r>
      <w:r>
        <w:t xml:space="preserve"> </w:t>
      </w:r>
      <w:r>
        <w:t xml:space="preserve">investigate</w:t>
      </w:r>
      <w:r>
        <w:t xml:space="preserve"> </w:t>
      </w:r>
      <w:r>
        <w:t xml:space="preserve">whether</w:t>
      </w:r>
      <w:r>
        <w:t xml:space="preserve"> </w:t>
      </w:r>
      <w:r>
        <w:t xml:space="preserve">the</w:t>
      </w:r>
      <w:r>
        <w:t xml:space="preserve"> </w:t>
      </w:r>
      <w:r>
        <w:t xml:space="preserve">labor</w:t>
      </w:r>
      <w:r>
        <w:t xml:space="preserve"> </w:t>
      </w:r>
      <w:r>
        <w:t xml:space="preserve">burden</w:t>
      </w:r>
      <w:r>
        <w:t xml:space="preserve"> </w:t>
      </w:r>
      <w:r>
        <w:t xml:space="preserve">for</w:t>
      </w:r>
      <w:r>
        <w:t xml:space="preserve"> </w:t>
      </w:r>
      <w:r>
        <w:t xml:space="preserve">applicants</w:t>
      </w:r>
      <w:r>
        <w:t xml:space="preserve"> </w:t>
      </w:r>
      <w:r>
        <w:t xml:space="preserve">has</w:t>
      </w:r>
      <w:r>
        <w:t xml:space="preserve"> </w:t>
      </w:r>
      <w:r>
        <w:t xml:space="preserve">changed</w:t>
      </w:r>
      <w:r>
        <w:t xml:space="preserve"> </w:t>
      </w:r>
      <w:r>
        <w:t xml:space="preserve">over</w:t>
      </w:r>
      <w:r>
        <w:t xml:space="preserve"> </w:t>
      </w:r>
      <w:r>
        <w:t xml:space="preserve">time:</w:t>
      </w:r>
      <w:r>
        <w:t xml:space="preserve"> </w:t>
      </w:r>
      <w:r>
        <w:t xml:space="preserve">do</w:t>
      </w:r>
      <w:r>
        <w:t xml:space="preserve"> </w:t>
      </w:r>
      <w:r>
        <w:t xml:space="preserve">institutions</w:t>
      </w:r>
      <w:r>
        <w:t xml:space="preserve"> </w:t>
      </w:r>
      <w:r>
        <w:t xml:space="preserve">request</w:t>
      </w:r>
      <w:r>
        <w:t xml:space="preserve"> </w:t>
      </w:r>
      <w:r>
        <w:t xml:space="preserve">more</w:t>
      </w:r>
      <w:r>
        <w:t xml:space="preserve"> </w:t>
      </w:r>
      <w:r>
        <w:t xml:space="preserve">information</w:t>
      </w:r>
      <w:r>
        <w:t xml:space="preserve"> </w:t>
      </w:r>
      <w:r>
        <w:t xml:space="preserve">and</w:t>
      </w:r>
      <w:r>
        <w:t xml:space="preserve"> </w:t>
      </w:r>
      <w:r>
        <w:t xml:space="preserve">documents</w:t>
      </w:r>
      <w:r>
        <w:t xml:space="preserve"> </w:t>
      </w:r>
      <w:r>
        <w:t xml:space="preserve">from</w:t>
      </w:r>
      <w:r>
        <w:t xml:space="preserve"> </w:t>
      </w:r>
      <w:r>
        <w:t xml:space="preserve">applicants</w:t>
      </w:r>
      <w:r>
        <w:t xml:space="preserve"> </w:t>
      </w:r>
      <w:r>
        <w:t xml:space="preserve">at</w:t>
      </w:r>
      <w:r>
        <w:t xml:space="preserve"> </w:t>
      </w:r>
      <w:r>
        <w:t xml:space="preserve">the</w:t>
      </w:r>
      <w:r>
        <w:t xml:space="preserve"> </w:t>
      </w:r>
      <w:r>
        <w:t xml:space="preserve">initial</w:t>
      </w:r>
      <w:r>
        <w:t xml:space="preserve"> </w:t>
      </w:r>
      <w:r>
        <w:t xml:space="preserve">stages</w:t>
      </w:r>
      <w:r>
        <w:t xml:space="preserve"> </w:t>
      </w:r>
      <w:r>
        <w:t xml:space="preserve">of</w:t>
      </w:r>
      <w:r>
        <w:t xml:space="preserve"> </w:t>
      </w:r>
      <w:r>
        <w:t xml:space="preserve">application,</w:t>
      </w:r>
      <w:r>
        <w:t xml:space="preserve"> </w:t>
      </w:r>
      <w:r>
        <w:t xml:space="preserve">compared</w:t>
      </w:r>
      <w:r>
        <w:t xml:space="preserve"> </w:t>
      </w:r>
      <w:r>
        <w:t xml:space="preserve">to</w:t>
      </w:r>
      <w:r>
        <w:t xml:space="preserve"> </w:t>
      </w:r>
      <w:r>
        <w:t xml:space="preserve">a</w:t>
      </w:r>
      <w:r>
        <w:t xml:space="preserve"> </w:t>
      </w:r>
      <w:r>
        <w:t xml:space="preserve">decade</w:t>
      </w:r>
      <w:r>
        <w:t xml:space="preserve"> </w:t>
      </w:r>
      <w:r>
        <w:t xml:space="preserve">ago?</w:t>
      </w:r>
      <w:r>
        <w:t xml:space="preserve"> </w:t>
      </w:r>
      <w:r>
        <w:t xml:space="preserve">We</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socio-political</w:t>
      </w:r>
      <w:r>
        <w:t xml:space="preserve"> </w:t>
      </w:r>
      <w:r>
        <w:t xml:space="preserve">factors</w:t>
      </w:r>
      <w:r>
        <w:t xml:space="preserve"> </w:t>
      </w:r>
      <w:r>
        <w:t xml:space="preserve">on</w:t>
      </w:r>
      <w:r>
        <w:t xml:space="preserve"> </w:t>
      </w:r>
      <w:r>
        <w:t xml:space="preserve">the</w:t>
      </w:r>
      <w:r>
        <w:t xml:space="preserve"> </w:t>
      </w:r>
      <w:r>
        <w:t xml:space="preserve">changing</w:t>
      </w:r>
      <w:r>
        <w:t xml:space="preserve"> </w:t>
      </w:r>
      <w:r>
        <w:t xml:space="preserve">focus</w:t>
      </w:r>
      <w:r>
        <w:t xml:space="preserve"> </w:t>
      </w:r>
      <w:r>
        <w:t xml:space="preserve">of</w:t>
      </w:r>
      <w:r>
        <w:t xml:space="preserve"> </w:t>
      </w:r>
      <w:r>
        <w:t xml:space="preserve">research</w:t>
      </w:r>
      <w:r>
        <w:t xml:space="preserve"> </w:t>
      </w:r>
      <w:r>
        <w:t xml:space="preserve">topics</w:t>
      </w:r>
      <w:r>
        <w:t xml:space="preserve"> </w:t>
      </w:r>
      <w:r>
        <w:t xml:space="preserve">in</w:t>
      </w:r>
      <w:r>
        <w:t xml:space="preserve"> </w:t>
      </w:r>
      <w:r>
        <w:t xml:space="preserve">the</w:t>
      </w:r>
      <w:r>
        <w:t xml:space="preserve"> </w:t>
      </w:r>
      <w:r>
        <w:t xml:space="preserve">field.</w:t>
      </w:r>
      <w:r>
        <w:t xml:space="preserve"> </w:t>
      </w:r>
      <w:r>
        <w:t xml:space="preserve">This</w:t>
      </w:r>
      <w:r>
        <w:t xml:space="preserve"> </w:t>
      </w:r>
      <w:r>
        <w:t xml:space="preserve">research</w:t>
      </w:r>
      <w:r>
        <w:t xml:space="preserve"> </w:t>
      </w:r>
      <w:r>
        <w:t xml:space="preserve">aims</w:t>
      </w:r>
      <w:r>
        <w:t xml:space="preserve"> </w:t>
      </w:r>
      <w:r>
        <w:t xml:space="preserve">to</w:t>
      </w:r>
      <w:r>
        <w:t xml:space="preserve"> </w:t>
      </w:r>
      <w:r>
        <w:t xml:space="preserve">assist</w:t>
      </w:r>
      <w:r>
        <w:t xml:space="preserve"> </w:t>
      </w:r>
      <w:r>
        <w:t xml:space="preserve">current</w:t>
      </w:r>
      <w:r>
        <w:t xml:space="preserve"> </w:t>
      </w:r>
      <w:r>
        <w:t xml:space="preserve">and</w:t>
      </w:r>
      <w:r>
        <w:t xml:space="preserve"> </w:t>
      </w:r>
      <w:r>
        <w:t xml:space="preserve">future</w:t>
      </w:r>
      <w:r>
        <w:t xml:space="preserve"> </w:t>
      </w:r>
      <w:r>
        <w:t xml:space="preserve">archaeology</w:t>
      </w:r>
      <w:r>
        <w:t xml:space="preserve"> </w:t>
      </w:r>
      <w:r>
        <w:t xml:space="preserve">students</w:t>
      </w:r>
      <w:r>
        <w:t xml:space="preserve"> </w:t>
      </w:r>
      <w:r>
        <w:t xml:space="preserve">and</w:t>
      </w:r>
      <w:r>
        <w:t xml:space="preserve"> </w:t>
      </w:r>
      <w:r>
        <w:t xml:space="preserve">graduates</w:t>
      </w:r>
      <w:r>
        <w:t xml:space="preserve"> </w:t>
      </w:r>
      <w:r>
        <w:t xml:space="preserve">in</w:t>
      </w:r>
      <w:r>
        <w:t xml:space="preserve"> </w:t>
      </w:r>
      <w:r>
        <w:t xml:space="preserve">better</w:t>
      </w:r>
      <w:r>
        <w:t xml:space="preserve"> </w:t>
      </w:r>
      <w:r>
        <w:t xml:space="preserve">understanding</w:t>
      </w:r>
      <w:r>
        <w:t xml:space="preserve"> </w:t>
      </w:r>
      <w:r>
        <w:t xml:space="preserve">the</w:t>
      </w:r>
      <w:r>
        <w:t xml:space="preserve"> </w:t>
      </w:r>
      <w:r>
        <w:t xml:space="preserve">job</w:t>
      </w:r>
      <w:r>
        <w:t xml:space="preserve"> </w:t>
      </w:r>
      <w:r>
        <w:t xml:space="preserve">market</w:t>
      </w:r>
      <w:r>
        <w:t xml:space="preserve"> </w:t>
      </w:r>
      <w:r>
        <w:t xml:space="preserve">and</w:t>
      </w:r>
      <w:r>
        <w:t xml:space="preserve"> </w:t>
      </w:r>
      <w:r>
        <w:t xml:space="preserve">the</w:t>
      </w:r>
      <w:r>
        <w:t xml:space="preserve"> </w:t>
      </w:r>
      <w:r>
        <w:t xml:space="preserve">requirements</w:t>
      </w:r>
      <w:r>
        <w:t xml:space="preserve"> </w:t>
      </w:r>
      <w:r>
        <w:t xml:space="preserve">of</w:t>
      </w:r>
      <w:r>
        <w:t xml:space="preserve"> </w:t>
      </w:r>
      <w:r>
        <w:t xml:space="preserve">employers,</w:t>
      </w:r>
      <w:r>
        <w:t xml:space="preserve"> </w:t>
      </w:r>
      <w:r>
        <w:t xml:space="preserve">thereby</w:t>
      </w:r>
      <w:r>
        <w:t xml:space="preserve"> </w:t>
      </w:r>
      <w:r>
        <w:t xml:space="preserve">aiding</w:t>
      </w:r>
      <w:r>
        <w:t xml:space="preserve"> </w:t>
      </w:r>
      <w:r>
        <w:t xml:space="preserve">them</w:t>
      </w:r>
      <w:r>
        <w:t xml:space="preserve"> </w:t>
      </w:r>
      <w:r>
        <w:t xml:space="preserve">in</w:t>
      </w:r>
      <w:r>
        <w:t xml:space="preserve"> </w:t>
      </w:r>
      <w:r>
        <w:t xml:space="preserve">effectively</w:t>
      </w:r>
      <w:r>
        <w:t xml:space="preserve"> </w:t>
      </w:r>
      <w:r>
        <w:t xml:space="preserve">preparing</w:t>
      </w:r>
      <w:r>
        <w:t xml:space="preserve"> </w:t>
      </w:r>
      <w:r>
        <w:t xml:space="preserve">for</w:t>
      </w:r>
      <w:r>
        <w:t xml:space="preserve"> </w:t>
      </w:r>
      <w:r>
        <w:t xml:space="preserve">their</w:t>
      </w:r>
      <w:r>
        <w:t xml:space="preserve"> </w:t>
      </w:r>
      <w:r>
        <w:t xml:space="preserve">applications</w:t>
      </w:r>
      <w:r>
        <w:t xml:space="preserve"> </w:t>
      </w:r>
      <w:r>
        <w:t xml:space="preserve">for</w:t>
      </w:r>
      <w:r>
        <w:t xml:space="preserve"> </w:t>
      </w:r>
      <w:r>
        <w:t xml:space="preserve">positions</w:t>
      </w:r>
      <w:r>
        <w:t xml:space="preserve"> </w:t>
      </w:r>
      <w:r>
        <w:t xml:space="preserve">in</w:t>
      </w:r>
      <w:r>
        <w:t xml:space="preserve"> </w:t>
      </w:r>
      <w:r>
        <w:t xml:space="preserve">archaeology.</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School of Archaeology, University College Dublin, Ireland</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Keywords: archaeology; hiring; academia; job ads</w:t>
      </w:r>
    </w:p>
    <w:p>
      <w:pPr>
        <w:pStyle w:val="BodyText"/>
      </w:pPr>
      <w:r>
        <w:t xml:space="preserve">Highlights: These are the highlights.</w:t>
      </w:r>
    </w:p>
    <w:tbl>
      <w:tblPr>
        <w:tblStyle w:val="Table"/>
        <w:tblW w:type="pct" w:w="5000"/>
        <w:tblLook w:firstRow="0" w:lastRow="0" w:firstColumn="0" w:lastColumn="0" w:noHBand="0" w:noVBand="0" w:val="0000"/>
        <w:jc w:val="start"/>
        <w:tblLayout w:type="fixed"/>
      </w:tblPr>
      <w:tblGrid>
        <w:gridCol w:w="7920"/>
      </w:tblGrid>
      <w:tr>
        <w:tc>
          <w:tcPr/>
          <w:bookmarkStart w:id="24" w:name="fig-show-basic-plots"/>
          <w:p>
            <w:pPr>
              <w:pStyle w:val="Compact"/>
              <w:jc w:val="center"/>
            </w:pPr>
            <w:r>
              <w:drawing>
                <wp:inline>
                  <wp:extent cx="5943600" cy="4245428"/>
                  <wp:effectExtent b="0" l="0" r="0" t="0"/>
                  <wp:docPr descr="" title="" id="22" name="Picture"/>
                  <a:graphic>
                    <a:graphicData uri="http://schemas.openxmlformats.org/drawingml/2006/picture">
                      <pic:pic>
                        <pic:nvPicPr>
                          <pic:cNvPr descr="../figures/fig-panel-per-year.png" id="23" name="Picture"/>
                          <pic:cNvPicPr>
                            <a:picLocks noChangeArrowheads="1" noChangeAspect="1"/>
                          </pic:cNvPicPr>
                        </pic:nvPicPr>
                        <pic:blipFill>
                          <a:blip r:embed="rId21"/>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total number of job ads posted to the Academic Jobs Wiki for Archaeology in each 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bookmarkEnd w:id="24"/>
        </w:tc>
      </w:tr>
    </w:tbl>
    <w:bookmarkStart w:id="25" w:name="introduction"/>
    <w:p>
      <w:pPr>
        <w:pStyle w:val="Heading1"/>
      </w:pPr>
      <w:r>
        <w:t xml:space="preserve">Introduction</w:t>
      </w:r>
    </w:p>
    <w:p>
      <w:pPr>
        <w:pStyle w:val="FirstParagraph"/>
      </w:pPr>
      <w:r>
        <w:t xml:space="preserve">Attend any workshop, conference, or panel that includes early career researchers and the conversation will be steered inexorably towards the academic job market: who is hiring, who has attained a tenure-track position, and who is out of luck this season. This obsessive focus on career trajectories is warranted, particularly within the discipline of anthropology. As of 2019, 53.5% of colleges and universities had replaced tenure-eligible lines with contingent positions (</w:t>
      </w:r>
      <w:r>
        <w:rPr>
          <w:bCs/>
          <w:b/>
        </w:rPr>
        <w:t xml:space="preserve">AAUP 2022</w:t>
      </w:r>
      <w:r>
        <w:t xml:space="preserve">); today, 71% of faculty in the US are non-tenure-track(</w:t>
      </w:r>
      <w:r>
        <w:rPr>
          <w:bCs/>
          <w:b/>
        </w:rPr>
        <w:t xml:space="preserve">Culver and Kezar 2022</w:t>
      </w:r>
      <w:r>
        <w:rPr>
          <w:iCs/>
          <w:i/>
        </w:rPr>
        <w:t xml:space="preserve">).</w:t>
      </w:r>
      <w:r>
        <w:t xml:space="preserve"> </w:t>
      </w:r>
      <w:r>
        <w:t xml:space="preserve">The erosion of permanent jobs in American higher education is linked to a complex intersection of political and economic factors (</w:t>
      </w:r>
      <w:r>
        <w:rPr>
          <w:bCs/>
          <w:b/>
        </w:rPr>
        <w:t xml:space="preserve">Beck, under review</w:t>
      </w:r>
      <w:r>
        <w:t xml:space="preserve">), including decreasing federal support for higher education, concomitant increases in student debt (</w:t>
      </w:r>
      <w:r>
        <w:rPr>
          <w:bCs/>
          <w:b/>
        </w:rPr>
        <w:t xml:space="preserve">Gusterson 2017</w:t>
      </w:r>
      <w:r>
        <w:t xml:space="preserve">), a pronounced shift in university investment from faculty to administration (</w:t>
      </w:r>
      <w:r>
        <w:rPr>
          <w:bCs/>
          <w:b/>
        </w:rPr>
        <w:t xml:space="preserve">Graeber 2018: 162–163</w:t>
      </w:r>
      <w:r>
        <w:t xml:space="preserve">), and the growing privatization and market orientation of scientific research (</w:t>
      </w:r>
      <w:r>
        <w:rPr>
          <w:bCs/>
          <w:b/>
        </w:rPr>
        <w:t xml:space="preserve">Mirowski 2011</w:t>
      </w:r>
      <w:r>
        <w:t xml:space="preserve">).</w:t>
      </w:r>
    </w:p>
    <w:p>
      <w:pPr>
        <w:pStyle w:val="BodyText"/>
      </w:pPr>
      <w:r>
        <w:t xml:space="preserve">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w:t>
      </w:r>
      <w:r>
        <w:t xml:space="preserve"> </w:t>
      </w:r>
      <w:r>
        <w:t xml:space="preserve">“</w:t>
      </w:r>
      <w:r>
        <w:t xml:space="preserve">an awareness… that standards have changed during the last thirty years and the quantitative and qualitative demands for entry into the system are immeasurably higher now</w:t>
      </w:r>
      <w:r>
        <w:t xml:space="preserve">”</w:t>
      </w:r>
      <w:r>
        <w:t xml:space="preserve"> </w:t>
      </w:r>
      <w:r>
        <w:t xml:space="preserve">(</w:t>
      </w:r>
      <w:r>
        <w:rPr>
          <w:bCs/>
          <w:b/>
        </w:rPr>
        <w:t xml:space="preserve">1992: 66</w:t>
      </w:r>
      <w:r>
        <w:t xml:space="preserve">).</w:t>
      </w:r>
    </w:p>
    <w:p>
      <w:pPr>
        <w:pStyle w:val="BodyText"/>
      </w:pPr>
      <w:r>
        <w:t xml:space="preserve">These higher demands include increased overall productivity, higher mobility, sometimes requiring bothnational and international moves, more time spent in precarious short-term contracts, and the investment of a greater proportion of time and energy in applying for long-term positions. In their survey of early career researchers in European archaeology, for example, Brami et al. found that 52% of respondents who had obtained their PhD at least two years before the survey were on fixed-term contracts, while only 9% were in permanent positions (</w:t>
      </w:r>
      <w:r>
        <w:rPr>
          <w:bCs/>
          <w:b/>
        </w:rPr>
        <w:t xml:space="preserve">2023: Figure 5</w:t>
      </w:r>
      <w:r>
        <w:t xml:space="preserve">). In their words,</w:t>
      </w:r>
      <w:r>
        <w:t xml:space="preserve"> </w:t>
      </w:r>
      <w:r>
        <w:t xml:space="preserve">“</w:t>
      </w:r>
      <w:r>
        <w:t xml:space="preserve">the queue of eager post-docs hoping for a long-term appointment is getting longer, as is the average time spent in the</w:t>
      </w:r>
      <w:r>
        <w:t xml:space="preserve"> </w:t>
      </w:r>
      <w:r>
        <w:t xml:space="preserve">‘</w:t>
      </w:r>
      <w:r>
        <w:t xml:space="preserve">queue</w:t>
      </w:r>
      <w:r>
        <w:t xml:space="preserve">’</w:t>
      </w:r>
      <w:r>
        <w:t xml:space="preserve">”</w:t>
      </w:r>
      <w:r>
        <w:t xml:space="preserve"> </w:t>
      </w:r>
      <w:r>
        <w:t xml:space="preserve">(</w:t>
      </w:r>
      <w:r>
        <w:rPr>
          <w:bCs/>
          <w:b/>
        </w:rPr>
        <w:t xml:space="preserve">2023: 239</w:t>
      </w:r>
      <w:r>
        <w:t xml:space="preserve">). Ribeiro and Giamakis emphasize that this demographic comprises an academic precariat that is essential to the functioning of universities, but consists of a workforce on short-term contracts perpetually</w:t>
      </w:r>
      <w:r>
        <w:t xml:space="preserve"> </w:t>
      </w:r>
      <w:r>
        <w:t xml:space="preserve">“</w:t>
      </w:r>
      <w:r>
        <w:t xml:space="preserve">stranded between employment and unemployment</w:t>
      </w:r>
      <w:r>
        <w:t xml:space="preserve">”</w:t>
      </w:r>
      <w:r>
        <w:t xml:space="preserve"> </w:t>
      </w:r>
      <w:r>
        <w:t xml:space="preserve">(</w:t>
      </w:r>
      <w:r>
        <w:rPr>
          <w:bCs/>
          <w:b/>
        </w:rPr>
        <w:t xml:space="preserve">2023:10</w:t>
      </w:r>
      <w:r>
        <w:t xml:space="preserve">).</w:t>
      </w:r>
    </w:p>
    <w:p>
      <w:pPr>
        <w:pStyle w:val="BodyText"/>
      </w:pPr>
      <w:r>
        <w:t xml:space="preserve">Early career scholars with faculty ambitions are thus stuck in a double-bind, forced to funnel their energy into seemingly endless applications for which they receive little to no feedback and which remain invisible on their CVs. As Dennis et al. underscore, early career researchers are</w:t>
      </w:r>
      <w:r>
        <w:t xml:space="preserve"> </w:t>
      </w:r>
      <w:r>
        <w:t xml:space="preserve">“</w:t>
      </w:r>
      <w:r>
        <w:t xml:space="preserve">supplicants</w:t>
      </w:r>
      <w:r>
        <w:t xml:space="preserve">”</w:t>
      </w:r>
      <w:r>
        <w:t xml:space="preserve">:</w:t>
      </w:r>
      <w:r>
        <w:t xml:space="preserve"> </w:t>
      </w:r>
      <w:r>
        <w:t xml:space="preserve">“</w:t>
      </w:r>
      <w:r>
        <w:t xml:space="preserve">There is no way for applicants to point out that the job ads are taking too much time out of the scholarly community’s collective time bank</w:t>
      </w:r>
      <w:r>
        <w:t xml:space="preserve">”</w:t>
      </w:r>
      <w:r>
        <w:t xml:space="preserve"> </w:t>
      </w:r>
      <w:r>
        <w:t xml:space="preserve">(</w:t>
      </w:r>
      <w:r>
        <w:rPr>
          <w:bCs/>
          <w:b/>
        </w:rPr>
        <w:t xml:space="preserve">2022: 1</w:t>
      </w:r>
      <w:r>
        <w:t xml:space="preserve">).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online video interviews and teaching demonstrations. These courses often provide valuable training in the hidden curriculum of the academy, but that job applications are so complicated that they require training to navigate suggests more disciplinary attention should be paid to the</w:t>
      </w:r>
      <w:r>
        <w:t xml:space="preserve"> </w:t>
      </w:r>
      <w:r>
        <w:t xml:space="preserve">“</w:t>
      </w:r>
      <w:r>
        <w:t xml:space="preserve">market</w:t>
      </w:r>
      <w:r>
        <w:t xml:space="preserve">”</w:t>
      </w:r>
      <w:r>
        <w:t xml:space="preserve"> </w:t>
      </w:r>
      <w:r>
        <w:t xml:space="preserve">as a historically contingent set of cultural practices. As Rabinow maintains,</w:t>
      </w:r>
      <w:r>
        <w:t xml:space="preserve"> </w:t>
      </w:r>
      <w:r>
        <w:t xml:space="preserve">“</w:t>
      </w:r>
      <w:r>
        <w:t xml:space="preserve">if we want ethical considerations to play a central role in the articulation of truth and power—and I think we do—then bringing such considerations into view is the necessary first step towards recognizing who we are today and setting out on the road to a better place</w:t>
      </w:r>
      <w:r>
        <w:t xml:space="preserve">”</w:t>
      </w:r>
      <w:r>
        <w:t xml:space="preserve"> </w:t>
      </w:r>
      <w:r>
        <w:t xml:space="preserve">(</w:t>
      </w:r>
      <w:r>
        <w:rPr>
          <w:bCs/>
          <w:b/>
        </w:rPr>
        <w:t xml:space="preserve">1992: 71</w:t>
      </w:r>
      <w:r>
        <w:t xml:space="preserve">)</w:t>
      </w:r>
      <w:r>
        <w:t xml:space="preserve"> </w:t>
      </w:r>
      <w:r>
        <w:rPr>
          <w:bCs/>
          <w:b/>
        </w:rPr>
        <w:t xml:space="preserve">.</w:t>
      </w:r>
    </w:p>
    <w:p>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w:t>
      </w:r>
      <w:r>
        <w:rPr>
          <w:bCs/>
          <w:b/>
        </w:rPr>
        <w:t xml:space="preserve">Kawa 2019; Mackie and Rockwell 2023</w:t>
      </w:r>
      <w:r>
        <w:t xml:space="preserve">), but less scholarship on how those hires unfold. Research on hiring dynamics has amply demonstrated that</w:t>
      </w:r>
      <w:r>
        <w:t xml:space="preserve"> </w:t>
      </w:r>
      <w:r>
        <w:rPr>
          <w:iCs/>
          <w:i/>
        </w:rPr>
        <w:t xml:space="preserve">where</w:t>
      </w:r>
      <w:r>
        <w:t xml:space="preserve"> </w:t>
      </w:r>
      <w:r>
        <w:t xml:space="preserve">you get your PhD has an enormous impact on if and where you get a tenure-track position (</w:t>
      </w:r>
      <w:r>
        <w:rPr>
          <w:bCs/>
          <w:b/>
        </w:rPr>
        <w:t xml:space="preserve">Kawa et al. 2019; Mackie and Rockwell 2023</w:t>
      </w:r>
      <w:r>
        <w:t xml:space="preserve">), but how about</w:t>
      </w:r>
      <w:r>
        <w:t xml:space="preserve"> </w:t>
      </w:r>
      <w:r>
        <w:rPr>
          <w:iCs/>
          <w:i/>
        </w:rPr>
        <w:t xml:space="preserve">what</w:t>
      </w:r>
      <w:r>
        <w:t xml:space="preserve"> </w:t>
      </w:r>
      <w:r>
        <w:t xml:space="preserve">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pPr>
        <w:pStyle w:val="BodyText"/>
      </w:pPr>
      <w:r>
        <w:t xml:space="preserve">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bookmarkEnd w:id="25"/>
    <w:bookmarkStart w:id="26" w:name="background"/>
    <w:p>
      <w:pPr>
        <w:pStyle w:val="Heading1"/>
      </w:pPr>
      <w:r>
        <w:t xml:space="preserve">Background</w:t>
      </w:r>
    </w:p>
    <w:p>
      <w:pPr>
        <w:pStyle w:val="FirstParagraph"/>
      </w:pPr>
      <w:r>
        <w:t xml:space="preserve">The academic job market is a source of uncertainty, for both job seekers and hiring committees. Job seekers must search for ads that are well-matched to the skill sets and professional experiences that they have taken years to cultivate. Hiring committees must sift through tens to hundreds of applicants in the hope of finding a candidate that meets all of their needs and helps to realize their visions of their program and the discipline. Finding the right candidate for the position—or the right position for the candidate—is akin to finding a needle in a haystack.</w:t>
      </w:r>
    </w:p>
    <w:p>
      <w:pPr>
        <w:pStyle w:val="BodyText"/>
      </w:pPr>
      <w:r>
        <w:t xml:space="preserve">There is also a perception among many scholars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 (</w:t>
      </w:r>
      <w:r>
        <w:rPr>
          <w:bCs/>
          <w:b/>
        </w:rPr>
        <w:t xml:space="preserve">Bessner and Brenes 2021; Brami et al., 2023; Kawa et al. 2019; Kelsky 2015; Mackie and Rockwell 2023</w:t>
      </w:r>
      <w:r>
        <w:t xml:space="preserve">). This market saturation has arisen in tandem with increasingly complex application requirements. Many job ads now solicit specific documents in</w:t>
      </w:r>
      <w:r>
        <w:t xml:space="preserve"> </w:t>
      </w:r>
      <w:r>
        <w:rPr>
          <w:iCs/>
          <w:i/>
        </w:rPr>
        <w:t xml:space="preserve">addition</w:t>
      </w:r>
      <w:r>
        <w:t xml:space="preserve"> </w:t>
      </w:r>
      <w:r>
        <w:t xml:space="preserve">to the cover letter and CV, such as teaching, research, and diversity statements. These additional documents must be tailored for each application, making the process of applying for jobs a full-time job of its own.</w:t>
      </w:r>
    </w:p>
    <w:p>
      <w:pPr>
        <w:pStyle w:val="BodyText"/>
      </w:pPr>
      <w:r>
        <w:t xml:space="preserve">In anthropology in the US the number of doctoral anthropology graduates has increased by about 70% over the past 30 years, but the number of new faculty positions has not increased proportionally</w:t>
      </w:r>
      <w:r>
        <w:t xml:space="preserve"> </w:t>
      </w:r>
      <w:r>
        <w:t xml:space="preserve">(Speakman et al., 2018)</w:t>
      </w:r>
      <w:r>
        <w:t xml:space="preserve">. New faculty positions have dwindled, in part due to the removal of the of the Age Discrimination in Employment Act (ADEA) exemption in 1994 which prohibited mandatory retirement ages in higher education (</w:t>
      </w:r>
      <w:r>
        <w:rPr>
          <w:bCs/>
          <w:b/>
        </w:rPr>
        <w:t xml:space="preserve">Earle and Delpo Kulow 2015</w:t>
      </w:r>
      <w:r>
        <w:t xml:space="preserve">). When combined with the institution of tenure in American academia, the ADEA exemption allowed faculty to stay in their posts for as long as they liked. The median age for faculty in the U.S. now ranks among the highest for all professions (</w:t>
      </w:r>
      <w:r>
        <w:rPr>
          <w:bCs/>
          <w:b/>
        </w:rPr>
        <w:t xml:space="preserve">Citation</w:t>
      </w:r>
      <w:r>
        <w:t xml:space="preserve">). In tandem with the gradual de-investment in American higher education since 1980s</w:t>
      </w:r>
      <w:r>
        <w:t xml:space="preserve"> </w:t>
      </w:r>
      <w:r>
        <w:rPr>
          <w:bCs/>
          <w:b/>
        </w:rPr>
        <w:t xml:space="preserve">(Mirowski 2011</w:t>
      </w:r>
      <w:r>
        <w:t xml:space="preserve">) and the aftershocks of the 2008 recession, the ADEA exemption has cultivated an environment where new lines are few and far between. Among biological anthropologists,</w:t>
      </w:r>
      <w:r>
        <w:t xml:space="preserve"> </w:t>
      </w:r>
      <w:r>
        <w:t xml:space="preserve">Passalacqua (2018)</w:t>
      </w:r>
      <w:r>
        <w:t xml:space="preserve"> </w:t>
      </w:r>
      <w:r>
        <w:t xml:space="preserve">found a ratio of 0.81 PhDs to job academic advertisements per year, concluding that academic positions in biological anthropology are barely at sustainable levels. This echoes findings from other fields. In biomedical sciences, for example, there is one tenure-track position in the US for approximately every 6.3 PhD graduates</w:t>
      </w:r>
      <w:r>
        <w:t xml:space="preserve"> </w:t>
      </w:r>
      <w:r>
        <w:t xml:space="preserve">(Ghaffarzadegan et al., 2015)</w:t>
      </w:r>
      <w:r>
        <w:t xml:space="preserve">. In engineering, Larson et al., have calculated that providing jobs for even 50% of PhD graduates would require the field to expand at an</w:t>
      </w:r>
      <w:r>
        <w:t xml:space="preserve"> </w:t>
      </w:r>
      <w:r>
        <w:t xml:space="preserve">“</w:t>
      </w:r>
      <w:r>
        <w:t xml:space="preserve">improbable</w:t>
      </w:r>
      <w:r>
        <w:t xml:space="preserve">”</w:t>
      </w:r>
      <w:r>
        <w:t xml:space="preserve"> </w:t>
      </w:r>
      <w:r>
        <w:t xml:space="preserve">rate of 14% per year (</w:t>
      </w:r>
      <w:r>
        <w:rPr>
          <w:bCs/>
          <w:b/>
        </w:rPr>
        <w:t xml:space="preserve">2014: 747</w:t>
      </w:r>
      <w:r>
        <w:t xml:space="preserve">). As they emphasize,</w:t>
      </w:r>
      <w:r>
        <w:t xml:space="preserve"> </w:t>
      </w:r>
      <w:r>
        <w:t xml:space="preserve">“</w:t>
      </w:r>
      <w:r>
        <w:t xml:space="preserve">… the system in many places is saturated, far beyond capacity to absorb new PhDs in academia at the rates they are being produced</w:t>
      </w:r>
      <w:r>
        <w:t xml:space="preserve">”</w:t>
      </w:r>
      <w:r>
        <w:t xml:space="preserve"> </w:t>
      </w:r>
      <w:r>
        <w:t xml:space="preserve">(</w:t>
      </w:r>
      <w:r>
        <w:rPr>
          <w:bCs/>
          <w:b/>
        </w:rPr>
        <w:t xml:space="preserve">2014: 749</w:t>
      </w:r>
      <w:r>
        <w:t xml:space="preserve">).</w:t>
      </w:r>
    </w:p>
    <w:p>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Rising numbers of contingent faculty has long been a concern in US higher education</w:t>
      </w:r>
      <w:r>
        <w:t xml:space="preserve"> </w:t>
      </w:r>
      <w:r>
        <w:t xml:space="preserve">(Trevithick, 2010)</w:t>
      </w:r>
      <w:r>
        <w:t xml:space="preserve">. Data from the American Association of University Professors’ 2021–22 faculty survey indicate that more than 60% of faculty positions in US universities were held by non-tenure-track full time or part time contingent faculty members</w:t>
      </w:r>
      <w:r>
        <w:t xml:space="preserve"> </w:t>
      </w:r>
      <w:r>
        <w:t xml:space="preserve">(Colby, 2022)</w:t>
      </w:r>
      <w:r>
        <w:t xml:space="preserve">. Contingent faculty positions are precarious because they provide low or no health and retirement benefits, limited opportunities for professional development, and lower 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w:t>
      </w:r>
      <w:r>
        <w:t xml:space="preserve"> </w:t>
      </w:r>
      <w:r>
        <w:t xml:space="preserve">(Platzer and Allison, 2018)</w:t>
      </w:r>
      <w:r>
        <w:t xml:space="preserve">.</w:t>
      </w:r>
    </w:p>
    <w:p>
      <w:pPr>
        <w:pStyle w:val="BodyText"/>
      </w:pPr>
      <w:r>
        <w:t xml:space="preserve">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w:t>
      </w:r>
      <w:r>
        <w:t xml:space="preserve"> </w:t>
      </w:r>
      <w:r>
        <w:t xml:space="preserve">(Speakman et al., 2018)</w:t>
      </w:r>
      <w:r>
        <w:t xml:space="preserve">. Top-ranking programs are placing fewer than one in three graduates in tenure-track jobs</w:t>
      </w:r>
      <w:r>
        <w:t xml:space="preserve"> </w:t>
      </w:r>
      <w:r>
        <w:t xml:space="preserve">(Mackie and Rockwell, 2023)</w:t>
      </w:r>
      <w:r>
        <w:t xml:space="preserve">. Similarly, a network analysis of 1,918 faculty holding tenured or tenure-track positions at PhD-granting anthropology programs in the US in 2015 (including 506 archaeologists) found that the just fifteen graduate programs produced 52.8 percent of tenured and tenure-track positions</w:t>
      </w:r>
      <w:r>
        <w:t xml:space="preserve"> </w:t>
      </w:r>
      <w:r>
        <w:t xml:space="preserve">(Kawa et al., 2019)</w:t>
      </w:r>
      <w:r>
        <w:t xml:space="preserve">. This network analysis showed that programs with large endowments, with faculty who hold prestigious awards and are widely cited by other scholars, produce the majority of tenured and tenure-track faculty. Hiring bias predicated on the prestige of specific institutions and programs is not unique to anthropology. Targeted studies of the disciplines of sociology, communication, and operations research, and industrial systems engineering show similar dynamics (</w:t>
      </w:r>
      <w:r>
        <w:rPr>
          <w:bCs/>
          <w:b/>
        </w:rPr>
        <w:t xml:space="preserve">Barnett et al., 2010; Castillo, Myers and Chen, 2018; Feeley and Tutzauer 2022; Nevin 2019</w:t>
      </w:r>
      <w:r>
        <w:t xml:space="preserve">). Broader analyses comparing computer science, business, and history likewise reveal [parallel] patterns among disparate disciplines across the humanities, social sciences, and STEM fields, in which</w:t>
      </w:r>
      <w:r>
        <w:t xml:space="preserve"> </w:t>
      </w:r>
      <w:r>
        <w:t xml:space="preserve">“</w:t>
      </w:r>
      <w:r>
        <w:t xml:space="preserve">across disciplines, prestige hierarchies make the most accurate predictions of faculty placement</w:t>
      </w:r>
      <w:r>
        <w:t xml:space="preserve">”</w:t>
      </w:r>
      <w:r>
        <w:t xml:space="preserve"> </w:t>
      </w:r>
      <w:r>
        <w:t xml:space="preserve">(Clauset et al., 2015:4). The most recent comprehensive meta-analysis of faculty placement dynamics in the United States, which examined employment and doctoral education of all tenure-track faculty at PhD-granting universities, underscored the outsized impact of institutional prestige: 80% of faculty trained in the US came from just 20.4% of institutions</w:t>
      </w:r>
      <w:r>
        <w:t xml:space="preserve"> </w:t>
      </w:r>
      <w:r>
        <w:t xml:space="preserve">(Wapman et al., 2022)</w:t>
      </w:r>
      <w:r>
        <w:t xml:space="preserve">.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within their discipline. In a comparison of job ads from 1999–2000 and 2019–2020 published in</w:t>
      </w:r>
      <w:r>
        <w:t xml:space="preserve"> </w:t>
      </w:r>
      <w:r>
        <w:rPr>
          <w:iCs/>
          <w:i/>
        </w:rPr>
        <w:t xml:space="preserve">Anthropology News</w:t>
      </w:r>
      <w:r>
        <w:t xml:space="preserve"> </w:t>
      </w:r>
      <w:r>
        <w:t xml:space="preserve">Gershon and Rachok (2021)</w:t>
      </w:r>
      <w:r>
        <w:t xml:space="preserve"> </w:t>
      </w:r>
      <w:r>
        <w:t xml:space="preserve">noticed an increase in the number of materials requested from applicants. For example, twice as many 2019–2020 job ads requested writing samples compared to 1999–2000, and nearly four times as many requested statements of teaching philosophy. In their review of the</w:t>
      </w:r>
      <w:r>
        <w:t xml:space="preserve"> </w:t>
      </w:r>
      <w:r>
        <w:t xml:space="preserve">‘</w:t>
      </w:r>
      <w:r>
        <w:t xml:space="preserve">worst job ads of 2021</w:t>
      </w:r>
      <w:r>
        <w:t xml:space="preserve">’</w:t>
      </w:r>
      <w:r>
        <w:t xml:space="preserve"> </w:t>
      </w:r>
      <w:r>
        <w:t xml:space="preserve">Dennis et al. (2022)</w:t>
      </w:r>
      <w:r>
        <w:t xml:space="preserve"> </w:t>
      </w:r>
      <w:r>
        <w:t xml:space="preserve">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pPr>
        <w:pStyle w:val="BodyText"/>
      </w:pPr>
      <w:r>
        <w:t xml:space="preserve">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in 2016–2022 at several University of California campuses that used diversity statements as the first cut for selecting candidates for tenure-track faculty positions</w:t>
      </w:r>
      <w:r>
        <w:t xml:space="preserve"> </w:t>
      </w:r>
      <w:r>
        <w:t xml:space="preserve">(Soucek, 2021)</w:t>
      </w:r>
      <w:r>
        <w:t xml:space="preserve">.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w:t>
      </w:r>
      <w:r>
        <w:t xml:space="preserve"> </w:t>
      </w:r>
      <w:r>
        <w:t xml:space="preserve">(Guiden, 2024)</w:t>
      </w:r>
      <w:r>
        <w:t xml:space="preserve">.</w:t>
      </w:r>
    </w:p>
    <w:bookmarkEnd w:id="26"/>
    <w:bookmarkStart w:id="27" w:name="methods"/>
    <w:p>
      <w:pPr>
        <w:pStyle w:val="Heading1"/>
      </w:pPr>
      <w:r>
        <w:t xml:space="preserve">Methods</w:t>
      </w:r>
    </w:p>
    <w:p>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from other sources, such as the</w:t>
      </w:r>
      <w:r>
        <w:t xml:space="preserve"> </w:t>
      </w:r>
      <w:r>
        <w:rPr>
          <w:iCs/>
          <w:i/>
        </w:rPr>
        <w:t xml:space="preserve">Chronicle of Higher Education</w:t>
      </w:r>
      <w:r>
        <w:t xml:space="preserve">,</w:t>
      </w:r>
      <w:r>
        <w:t xml:space="preserve"> </w:t>
      </w:r>
      <w:r>
        <w:rPr>
          <w:iCs/>
          <w:i/>
        </w:rPr>
        <w:t xml:space="preserve">Higher Ed Jobs</w:t>
      </w:r>
      <w:r>
        <w:t xml:space="preserve">, and university websites, into the wiki, collecting</w:t>
      </w:r>
      <w:r>
        <w:t xml:space="preserve"> </w:t>
      </w:r>
      <w:r>
        <w:t xml:space="preserve"> </w:t>
      </w:r>
      <w:r>
        <w:t xml:space="preserve">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a large community of users that keep it updated and accurate has become an authoritative data source for studies of hiring trends in academia</w:t>
      </w:r>
      <w:r>
        <w:t xml:space="preserve"> </w:t>
      </w:r>
      <w:r>
        <w:t xml:space="preserve">(Musial and Holmes, 2018; e.g. Passalacqua, 2018)</w:t>
      </w:r>
      <w:r>
        <w:t xml:space="preserve"> </w:t>
      </w:r>
      <w:r>
        <w:t xml:space="preserve">and a widely recommended resource</w:t>
      </w:r>
      <w:r>
        <w:t xml:space="preserve"> </w:t>
      </w:r>
      <w:r>
        <w:t xml:space="preserve">(e.g. Lightfoot et al., 2021)</w:t>
      </w:r>
      <w:r>
        <w:t xml:space="preserve">.</w:t>
      </w:r>
    </w:p>
    <w:p>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methods foci on the position into a Google form. The topical focus is what we understood as the primary intellectual focus of the position—examples of topical foci included environmental archaeology, public archaeology, and North American archaeology. The geographic focus is the region of the world that the ideal candidate has scholarly expertise on, for example, Southwest US, Mediterranean, or Asia and India. The methods focus is the data-generating sub-field of archaeology that is mentioned in the ad. Examples of methods used in this study include archaeobotany, lithic analysis, or zooarchaeology. We also recorded the type and number of documents requested in each ad (e.g. cover letter, CV, statements on research, teaching, diversity , syllabi, course descriptions, writing samples, transcripts) and how many names/letters of recommenders were requested in the ad, if any.</w:t>
      </w:r>
    </w:p>
    <w:p>
      <w:pPr>
        <w:pStyle w:val="BodyText"/>
      </w:pPr>
      <w:r>
        <w:t xml:space="preserve">After completing primary data collection, we studied the topical, geographic, and methods text of each ad and collaboratively and manually reduced the variation in the raw data into 10-15 categories appearing in 20 (for topics and geography) or 10 (for methods) or more job ads to simplify analysis and visualisation. This means that some topics, such as gender (mentioned in 6 ads) do not appear in our results because of their rarity in the job ads. Full details of the category reduction, showing the mapping between phrases in the job ads and our categories, are in our Supplementary Materials. Our final, reduced topic categories were: American archaeology, Ancient Europe and Mediterranean, Archaeological science, Archaeological theory, Biological anthropology,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 Ads could have multiple or none of these three foci, and some of the foci overlap. Some topics include geographic regions because this is how they are typically understood by archaeologists. For example, Mesoamerican archaeology is understood to refer to a specific time period and geographic region. Similarly, we recorded digital archaeology we recorded as both a method (when a job ad had a clearly distinct topical focus, such as historic archaeology) and a topic (when there were no other topics mentioned in the job ad). While these categorical overlaps can make the data challenging to interpret, in our view this approach reflects the complex realities of how search committees express their needs in searching for new faculty. Acknowledgement of overlaps also produces new insights into hiring dynamics through revealing intersections between different foci.</w:t>
      </w:r>
    </w:p>
    <w:p>
      <w:pPr>
        <w:pStyle w:val="BodyText"/>
      </w:pPr>
      <w:r>
        <w:t xml:space="preserve">The entire R code (R Core Team, 2021) and data files used for all the analyses and visualizations contained in this paper are openly available at https://doi.org/xxx/xx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bookmarkEnd w:id="27"/>
    <w:bookmarkStart w:id="61" w:name="results"/>
    <w:p>
      <w:pPr>
        <w:pStyle w:val="Heading1"/>
      </w:pPr>
      <w:r>
        <w:t xml:space="preserve">Results</w:t>
      </w:r>
    </w:p>
    <w:p>
      <w:pPr>
        <w:pStyle w:val="FirstParagraph"/>
      </w:pPr>
      <w:r>
        <w:t xml:space="preserve">We collected data from 547 ads for tenure-track jobs in archaeology posted during 2013-2023. We focus our analysis here on the 431 ads for positions at US universities .</w:t>
      </w:r>
      <w:r>
        <w:t xml:space="preserve"> </w:t>
      </w:r>
      <w:hyperlink w:anchor="fig-show-basic-plots">
        <w:r>
          <w:rPr>
            <w:rStyle w:val="Hyperlink"/>
          </w:rPr>
          <w:t xml:space="preserve">Figure 1</w:t>
        </w:r>
      </w:hyperlink>
      <w:r>
        <w:t xml:space="preserve"> </w:t>
      </w:r>
      <w:r>
        <w:t xml:space="preserve">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 Only academic year 2013-2014 had more non-tenure-track positions than tenure-track positions , which was followed by an upward trend peaking at 2018-2019 and then declining again into the present.</w:t>
      </w:r>
    </w:p>
    <w:bookmarkStart w:id="32" w:name="X7da0eb04c9114824d0c25b05c9c5c8ea958ead8"/>
    <w:p>
      <w:pPr>
        <w:pStyle w:val="Heading2"/>
      </w:pPr>
      <w:r>
        <w:t xml:space="preserve">Characteristics of the hiring institutions</w:t>
      </w:r>
    </w:p>
    <w:tbl>
      <w:tblPr>
        <w:tblStyle w:val="Table"/>
        <w:tblW w:type="pct" w:w="5000"/>
        <w:tblLook w:firstRow="0" w:lastRow="0" w:firstColumn="0" w:lastColumn="0" w:noHBand="0" w:noVBand="0" w:val="0000"/>
        <w:jc w:val="start"/>
        <w:tblLayout w:type="fixed"/>
      </w:tblPr>
      <w:tblGrid>
        <w:gridCol w:w="7920"/>
      </w:tblGrid>
      <w:tr>
        <w:tc>
          <w:tcPr/>
          <w:bookmarkStart w:id="31" w:name="Xb6ce60108169ab29fd4ed84e6becc1ec8f0f199"/>
          <w:p>
            <w:pPr>
              <w:pStyle w:val="Compact"/>
              <w:jc w:val="center"/>
            </w:pPr>
            <w:r>
              <w:drawing>
                <wp:inline>
                  <wp:extent cx="5943600" cy="3467100"/>
                  <wp:effectExtent b="0" l="0" r="0" t="0"/>
                  <wp:docPr descr="" title="" id="29" name="Picture"/>
                  <a:graphic>
                    <a:graphicData uri="http://schemas.openxmlformats.org/drawingml/2006/picture">
                      <pic:pic>
                        <pic:nvPicPr>
                          <pic:cNvPr descr="../figures/fig-map-and-carnegie-classification.png" id="30" name="Picture"/>
                          <pic:cNvPicPr>
                            <a:picLocks noChangeArrowheads="1" noChangeAspect="1"/>
                          </pic:cNvPicPr>
                        </pic:nvPicPr>
                        <pic:blipFill>
                          <a:blip r:embed="rId28"/>
                          <a:stretch>
                            <a:fillRect/>
                          </a:stretch>
                        </pic:blipFill>
                        <pic:spPr bwMode="auto">
                          <a:xfrm>
                            <a:off x="0" y="0"/>
                            <a:ext cx="5943600" cy="3467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Frequency of hiring institution by Carnegie classification. B: Inset shows map of the United States showing the count of tenure-track job ads posted by all insititutions in each state during 2013 – 2023</w:t>
            </w:r>
          </w:p>
          <w:bookmarkEnd w:id="31"/>
        </w:tc>
      </w:tr>
    </w:tbl>
    <w:p>
      <w:pPr>
        <w:pStyle w:val="BodyText"/>
      </w:pPr>
      <w:r>
        <w:t xml:space="preserve">Panel A of</w:t>
      </w:r>
      <w:r>
        <w:t xml:space="preserve"> </w:t>
      </w:r>
      <w:hyperlink w:anchor="Xb6ce60108169ab29fd4ed84e6becc1ec8f0f199">
        <w:r>
          <w:rPr>
            <w:rStyle w:val="Hyperlink"/>
          </w:rPr>
          <w:t xml:space="preserve">Figure 2</w:t>
        </w:r>
      </w:hyperlink>
      <w:r>
        <w:t xml:space="preserve"> </w:t>
      </w:r>
      <w:r>
        <w:t xml:space="preserve">shows the frequencies of institutions according to their Carnegie Classification, which is a framework for classifying US colleges and universities according to the types of degrees awarded, levels of activity such as research, and topical foci. Doctoral universities with high and very high research activity are by far the most active with hiring archaeology faculty. Associate’s colleges, also known as community colleges, rarely post job ads for archaeology faculty.</w:t>
      </w:r>
    </w:p>
    <w:p>
      <w:pPr>
        <w:pStyle w:val="BodyText"/>
      </w:pPr>
      <w:r>
        <w:t xml:space="preserve">Panel B of</w:t>
      </w:r>
      <w:r>
        <w:t xml:space="preserve"> </w:t>
      </w:r>
      <w:hyperlink w:anchor="Xb6ce60108169ab29fd4ed84e6becc1ec8f0f199">
        <w:r>
          <w:rPr>
            <w:rStyle w:val="Hyperlink"/>
          </w:rPr>
          <w:t xml:space="preserve">Figure 2</w:t>
        </w:r>
      </w:hyperlink>
      <w:r>
        <w:t xml:space="preserve"> </w:t>
      </w:r>
      <w:r>
        <w:t xml:space="preserve">shows the geographic distribution of the hiring institutions. California posted almost twice as many job ads as the next most active states. After California, the states that posted the most ads during 2013-2023 include New York, Texas, and Pennsylvania, and Florida. These top five states also correspond to the top five most populous US states, suggesting that rates of hiring are approximately proportional to population density. These top five states for job ads are also the top five states with highest number of degrees awarded in Anthropology (U.S. Department of Education nd). Similarly, the lowest counts of job ads were observed in states with the lowest populations: North Dakota, South Dakota, Alaska, and Nebraska. No institutions in Montana posted a job ad during this period. The implication here is that job-seekers who are able to relocate to populous areas will have more employment options.</w:t>
      </w:r>
    </w:p>
    <w:bookmarkEnd w:id="32"/>
    <w:bookmarkStart w:id="37" w:name="geographic-trends-over-time-in-job-ads"/>
    <w:p>
      <w:pPr>
        <w:pStyle w:val="Heading2"/>
      </w:pPr>
      <w:r>
        <w:t xml:space="preserve">Geographic trends over time in job ads</w:t>
      </w:r>
    </w:p>
    <w:tbl>
      <w:tblPr>
        <w:tblStyle w:val="Table"/>
        <w:tblW w:type="pct" w:w="5000"/>
        <w:tblLook w:firstRow="0" w:lastRow="0" w:firstColumn="0" w:lastColumn="0" w:noHBand="0" w:noVBand="0" w:val="0000"/>
        <w:jc w:val="start"/>
        <w:tblLayout w:type="fixed"/>
      </w:tblPr>
      <w:tblGrid>
        <w:gridCol w:w="7920"/>
      </w:tblGrid>
      <w:tr>
        <w:tc>
          <w:tcPr/>
          <w:bookmarkStart w:id="36" w:name="fig-show-geo-trends"/>
          <w:p>
            <w:pPr>
              <w:pStyle w:val="Compact"/>
              <w:jc w:val="center"/>
            </w:pPr>
            <w:r>
              <w:drawing>
                <wp:inline>
                  <wp:extent cx="5943600" cy="7429499"/>
                  <wp:effectExtent b="0" l="0" r="0" t="0"/>
                  <wp:docPr descr="" title="" id="34" name="Picture"/>
                  <a:graphic>
                    <a:graphicData uri="http://schemas.openxmlformats.org/drawingml/2006/picture">
                      <pic:pic>
                        <pic:nvPicPr>
                          <pic:cNvPr descr="../figures/fig-geo-focus-by-year.png" id="35" name="Picture"/>
                          <pic:cNvPicPr>
                            <a:picLocks noChangeArrowheads="1" noChangeAspect="1"/>
                          </pic:cNvPicPr>
                        </pic:nvPicPr>
                        <pic:blipFill>
                          <a:blip r:embed="rId3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Frequency of locations mentioned in the text of the job ads. B: Popularity of locations in job ads over time. Individual data points are show, overlain by a locally weighted regression line for each location to indicate temporal trends.</w:t>
            </w:r>
          </w:p>
          <w:bookmarkEnd w:id="36"/>
        </w:tc>
      </w:tr>
    </w:tbl>
    <w:p>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w:t>
      </w:r>
      <w:r>
        <w:t xml:space="preserve"> </w:t>
      </w:r>
      <w:hyperlink w:anchor="fig-show-geo-trends">
        <w:r>
          <w:rPr>
            <w:rStyle w:val="Hyperlink"/>
          </w:rPr>
          <w:t xml:space="preserve">Figure 3</w:t>
        </w:r>
      </w:hyperlink>
      <w:r>
        <w:t xml:space="preserve"> </w:t>
      </w:r>
      <w:r>
        <w:t xml:space="preserve">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also in relatively large numbers</w:t>
      </w:r>
      <w:r>
        <w:t xml:space="preserve"> </w:t>
      </w:r>
      <w:r>
        <w:t xml:space="preserve">(Griffin-Pierce, 2000)</w:t>
      </w:r>
      <w:r>
        <w:t xml:space="preserve"> </w:t>
      </w:r>
      <w:r>
        <w:t xml:space="preserve">. The Mediterranean is prominent because it is the location that is often mentioned in job ads focused on classical archaeology (i.e. archaeology of Bronze and Iron Age Italy and Greece).</w:t>
      </w:r>
    </w:p>
    <w:p>
      <w:pPr>
        <w:pStyle w:val="BodyText"/>
      </w:pPr>
      <w:r>
        <w:t xml:space="preserve">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correlated in an opposite trend.</w:t>
      </w:r>
    </w:p>
    <w:bookmarkEnd w:id="37"/>
    <w:bookmarkStart w:id="42" w:name="method-trends-over-time"/>
    <w:p>
      <w:pPr>
        <w:pStyle w:val="Heading2"/>
      </w:pPr>
      <w:r>
        <w:t xml:space="preserve">Method trends over time</w:t>
      </w:r>
    </w:p>
    <w:tbl>
      <w:tblPr>
        <w:tblStyle w:val="Table"/>
        <w:tblW w:type="pct" w:w="5000"/>
        <w:tblLook w:firstRow="0" w:lastRow="0" w:firstColumn="0" w:lastColumn="0" w:noHBand="0" w:noVBand="0" w:val="0000"/>
        <w:jc w:val="start"/>
        <w:tblLayout w:type="fixed"/>
      </w:tblPr>
      <w:tblGrid>
        <w:gridCol w:w="7920"/>
      </w:tblGrid>
      <w:tr>
        <w:tc>
          <w:tcPr/>
          <w:bookmarkStart w:id="41" w:name="fig-show-metho-trends"/>
          <w:p>
            <w:pPr>
              <w:pStyle w:val="Compact"/>
              <w:jc w:val="center"/>
            </w:pPr>
            <w:r>
              <w:drawing>
                <wp:inline>
                  <wp:extent cx="5943600" cy="7429499"/>
                  <wp:effectExtent b="0" l="0" r="0" t="0"/>
                  <wp:docPr descr="" title="" id="39" name="Picture"/>
                  <a:graphic>
                    <a:graphicData uri="http://schemas.openxmlformats.org/drawingml/2006/picture">
                      <pic:pic>
                        <pic:nvPicPr>
                          <pic:cNvPr descr="../figures/fig-method-focus-by-year.png" id="40" name="Picture"/>
                          <pic:cNvPicPr>
                            <a:picLocks noChangeArrowheads="1" noChangeAspect="1"/>
                          </pic:cNvPicPr>
                        </pic:nvPicPr>
                        <pic:blipFill>
                          <a:blip r:embed="rId38"/>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Frequency of methods mentioned in the text of the job ads. B: Popularity of methods in job ads over time. Individual data points are show, overlain by a locally weighted regression line for each location to indicate temporal trends.</w:t>
            </w:r>
          </w:p>
          <w:bookmarkEnd w:id="41"/>
        </w:tc>
      </w:tr>
    </w:tbl>
    <w:p>
      <w:pPr>
        <w:pStyle w:val="BodyText"/>
      </w:pPr>
      <w:r>
        <w:t xml:space="preserve">Landscape archaeology, encompassing GIS and remote sensing, has remained prominent compared to other methods</w:t>
      </w:r>
      <w:r>
        <w:t xml:space="preserve"> </w:t>
      </w:r>
      <w:hyperlink w:anchor="fig-show-metho-trends">
        <w:r>
          <w:rPr>
            <w:rStyle w:val="Hyperlink"/>
          </w:rPr>
          <w:t xml:space="preserve">Figure 4</w:t>
        </w:r>
      </w:hyperlink>
      <w:r>
        <w:t xml:space="preserve">. The popularity of this suite of methods may reflect its importance as a skill in demand by employers in the Cultural Research Management sector.</w:t>
      </w:r>
      <w:r>
        <w:t xml:space="preserve"> </w:t>
      </w:r>
      <w:r>
        <w:t xml:space="preserve">Morgan (2023)</w:t>
      </w:r>
      <w:r>
        <w:t xml:space="preserve"> </w:t>
      </w:r>
      <w:r>
        <w:t xml:space="preserve">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the more popular methods are those that are relevant to multiple elements of the archaeological record (e.g. Archaeobotany encompasses macroscopic and microscopic plant remains; Bioarchaeology may include skeletal analysis, isotopes, proteins, etc.).</w:t>
      </w:r>
    </w:p>
    <w:p>
      <w:pPr>
        <w:pStyle w:val="BodyText"/>
      </w:pPr>
      <w:r>
        <w:t xml:space="preserve">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bookmarkEnd w:id="42"/>
    <w:bookmarkStart w:id="51" w:name="topic-trends-over-time"/>
    <w:p>
      <w:pPr>
        <w:pStyle w:val="Heading2"/>
      </w:pPr>
      <w:r>
        <w:t xml:space="preserve">Topic trends over time</w:t>
      </w:r>
    </w:p>
    <w:tbl>
      <w:tblPr>
        <w:tblStyle w:val="Table"/>
        <w:tblW w:type="pct" w:w="5000"/>
        <w:tblLook w:firstRow="0" w:lastRow="0" w:firstColumn="0" w:lastColumn="0" w:noHBand="0" w:noVBand="0" w:val="0000"/>
        <w:jc w:val="start"/>
        <w:tblLayout w:type="fixed"/>
      </w:tblPr>
      <w:tblGrid>
        <w:gridCol w:w="7920"/>
      </w:tblGrid>
      <w:tr>
        <w:tc>
          <w:tcPr/>
          <w:bookmarkStart w:id="46" w:name="fig-show-topi-trends"/>
          <w:p>
            <w:pPr>
              <w:pStyle w:val="Compact"/>
              <w:jc w:val="center"/>
            </w:pPr>
            <w:r>
              <w:drawing>
                <wp:inline>
                  <wp:extent cx="5943600" cy="7429499"/>
                  <wp:effectExtent b="0" l="0" r="0" t="0"/>
                  <wp:docPr descr="" title="" id="44" name="Picture"/>
                  <a:graphic>
                    <a:graphicData uri="http://schemas.openxmlformats.org/drawingml/2006/picture">
                      <pic:pic>
                        <pic:nvPicPr>
                          <pic:cNvPr descr="../figures/fig-topic-focus-by-year.png" id="45" name="Picture"/>
                          <pic:cNvPicPr>
                            <a:picLocks noChangeArrowheads="1" noChangeAspect="1"/>
                          </pic:cNvPicPr>
                        </pic:nvPicPr>
                        <pic:blipFill>
                          <a:blip r:embed="rId43"/>
                          <a:stretch>
                            <a:fillRect/>
                          </a:stretch>
                        </pic:blipFill>
                        <pic:spPr bwMode="auto">
                          <a:xfrm>
                            <a:off x="0" y="0"/>
                            <a:ext cx="5943600" cy="7429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Frequency of topics mentioned in the text of the job ads. B: Popularity of topics in job ads over time for topics that appear in 20 or more ads. Individual data points are shown, overlain by a locally weighted regression line for each location to indicate temporal trends.</w:t>
            </w:r>
          </w:p>
          <w:bookmarkEnd w:id="46"/>
        </w:tc>
      </w:tr>
    </w:tbl>
    <w:p>
      <w:pPr>
        <w:pStyle w:val="BodyText"/>
      </w:pPr>
      <w:r>
        <w:t xml:space="preserve">The most frequently mentioned topic in the job ads is Environmental archaeology</w:t>
      </w:r>
      <w:r>
        <w:t xml:space="preserve"> </w:t>
      </w:r>
      <w:hyperlink w:anchor="fig-show-topi-trends">
        <w:r>
          <w:rPr>
            <w:rStyle w:val="Hyperlink"/>
          </w:rPr>
          <w:t xml:space="preserve">Figure 5</w:t>
        </w:r>
      </w:hyperlink>
      <w:r>
        <w:t xml:space="preserve">. This category encompasses such phrases as human-environmental dynamics, interaction between humans and their environments, environmental change, climate change, historical ecology, ecological knowledge,human ecology, and ecological systems. Public archaeology is the second most frequent topic overall, which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pPr>
        <w:pStyle w:val="BodyText"/>
      </w:pPr>
      <w:r>
        <w:t xml:space="preserve">In the years 2019-2020 and 2020-2021 there are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which was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Style w:val="Table"/>
        <w:tblW w:type="pct" w:w="5000"/>
        <w:tblLook w:firstRow="0" w:lastRow="0" w:firstColumn="0" w:lastColumn="0" w:noHBand="0" w:noVBand="0" w:val="0000"/>
        <w:jc w:val="start"/>
        <w:tblLayout w:type="fixed"/>
      </w:tblPr>
      <w:tblGrid>
        <w:gridCol w:w="7920"/>
      </w:tblGrid>
      <w:tr>
        <w:tc>
          <w:tcPr/>
          <w:bookmarkStart w:id="50" w:name="fig-show-cooc"/>
          <w:p>
            <w:pPr>
              <w:pStyle w:val="Compact"/>
              <w:jc w:val="center"/>
            </w:pPr>
            <w:r>
              <w:drawing>
                <wp:inline>
                  <wp:extent cx="5943600" cy="5943600"/>
                  <wp:effectExtent b="0" l="0" r="0" t="0"/>
                  <wp:docPr descr="" title="" id="48" name="Picture"/>
                  <a:graphic>
                    <a:graphicData uri="http://schemas.openxmlformats.org/drawingml/2006/picture">
                      <pic:pic>
                        <pic:nvPicPr>
                          <pic:cNvPr descr="../figures/fig-topic-cooc-heatmap.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Heatmap of topic co-occurrance in job ads.</w:t>
            </w:r>
          </w:p>
          <w:bookmarkEnd w:id="50"/>
        </w:tc>
      </w:tr>
    </w:tbl>
    <w:p>
      <w:pPr>
        <w:pStyle w:val="BodyText"/>
      </w:pPr>
      <w:r>
        <w:t xml:space="preserve">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 N = 836) = 160.42, p = 9</w:t>
      </w:r>
      <w:r>
        <w:rPr>
          <w:iCs/>
          <w:i/>
        </w:rPr>
        <w:t xml:space="preserve">x</w:t>
      </w:r>
      <w:r>
        <w:t xml:space="preserve">10</w:t>
      </w:r>
      <w:r>
        <w:rPr>
          <w:vertAlign w:val="superscript"/>
        </w:rPr>
        <w:t xml:space="preserve">-37</w:t>
      </w:r>
      <w:r>
        <w:t xml:space="preserve">).</w:t>
      </w:r>
      <w:r>
        <w:t xml:space="preserve"> </w:t>
      </w:r>
      <w:hyperlink w:anchor="fig-show-cooc">
        <w:r>
          <w:rPr>
            <w:rStyle w:val="Hyperlink"/>
          </w:rPr>
          <w:t xml:space="preserve">Figure 6</w:t>
        </w:r>
      </w:hyperlink>
      <w:r>
        <w:t xml:space="preserve"> </w:t>
      </w:r>
      <w:r>
        <w:t xml:space="preserve">shows topic co-occurrences in our sample. Indigenous and historical archaeology often occurs in job ads with Public archaeology and North American archaeology. Complex societies and environmental archaeology were frequently found in the same ads. Biological archaeology, archaeological science, and evolutionary archaeology are another cluster of topics that frequently co-occur. Other topics are relatively isolated. For example, Pleistocene archaeology and digital archaeology rarely occur with other topics.</w:t>
      </w:r>
    </w:p>
    <w:bookmarkEnd w:id="51"/>
    <w:bookmarkStart w:id="60" w:name="instructions-to-applicants-over-time"/>
    <w:p>
      <w:pPr>
        <w:pStyle w:val="Heading2"/>
      </w:pPr>
      <w:r>
        <w:t xml:space="preserve">Instructions to applicants over time</w:t>
      </w:r>
    </w:p>
    <w:tbl>
      <w:tblPr>
        <w:tblStyle w:val="Table"/>
        <w:tblW w:type="pct" w:w="5000"/>
        <w:tblLook w:firstRow="0" w:lastRow="0" w:firstColumn="0" w:lastColumn="0" w:noHBand="0" w:noVBand="0" w:val="0000"/>
        <w:jc w:val="start"/>
        <w:tblLayout w:type="fixed"/>
      </w:tblPr>
      <w:tblGrid>
        <w:gridCol w:w="7920"/>
      </w:tblGrid>
      <w:tr>
        <w:tc>
          <w:tcPr/>
          <w:bookmarkStart w:id="55" w:name="fig-requirements-over-time"/>
          <w:p>
            <w:pPr>
              <w:pStyle w:val="Compact"/>
              <w:jc w:val="center"/>
            </w:pPr>
            <w:r>
              <w:drawing>
                <wp:inline>
                  <wp:extent cx="5943600" cy="2971800"/>
                  <wp:effectExtent b="0" l="0" r="0" t="0"/>
                  <wp:docPr descr="" title="" id="53" name="Picture"/>
                  <a:graphic>
                    <a:graphicData uri="http://schemas.openxmlformats.org/drawingml/2006/picture">
                      <pic:pic>
                        <pic:nvPicPr>
                          <pic:cNvPr descr="../figures/fig-requirements-per-year.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bookmarkEnd w:id="55"/>
        </w:tc>
      </w:tr>
    </w:tbl>
    <w:p>
      <w:pPr>
        <w:pStyle w:val="BodyText"/>
      </w:pPr>
      <w:r>
        <w:t xml:space="preserve">Over our ten year study period there have been substantial changes in the instructions to applicants in terms of the type and number of documents that are requested by the search committees</w:t>
      </w:r>
      <w:r>
        <w:t xml:space="preserve"> </w:t>
      </w:r>
      <w:hyperlink w:anchor="fig-requirements-over-time">
        <w:r>
          <w:rPr>
            <w:rStyle w:val="Hyperlink"/>
          </w:rPr>
          <w:t xml:space="preserve">Figure 7</w:t>
        </w:r>
      </w:hyperlink>
      <w:r>
        <w:t xml:space="preserve">.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Style w:val="Table"/>
        <w:tblW w:type="pct" w:w="5000"/>
        <w:tblLook w:firstRow="0" w:lastRow="0" w:firstColumn="0" w:lastColumn="0" w:noHBand="0" w:noVBand="0" w:val="0000"/>
        <w:jc w:val="start"/>
        <w:tblLayout w:type="fixed"/>
      </w:tblPr>
      <w:tblGrid>
        <w:gridCol w:w="7920"/>
      </w:tblGrid>
      <w:tr>
        <w:tc>
          <w:tcPr/>
          <w:bookmarkStart w:id="59" w:name="fig-requirements-by-position"/>
          <w:p>
            <w:pPr>
              <w:pStyle w:val="Compact"/>
              <w:jc w:val="center"/>
            </w:pPr>
            <w:r>
              <w:drawing>
                <wp:inline>
                  <wp:extent cx="5943600" cy="4457700"/>
                  <wp:effectExtent b="0" l="0" r="0" t="0"/>
                  <wp:docPr descr="" title="" id="57" name="Picture"/>
                  <a:graphic>
                    <a:graphicData uri="http://schemas.openxmlformats.org/drawingml/2006/picture">
                      <pic:pic>
                        <pic:nvPicPr>
                          <pic:cNvPr descr="../figures/fig-requirements-by-rank.png" id="58"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Variation in application requirements by academic position. Each point represents an individual job ad. The points have been jittered to avoid overlap. The red point is the mean value for each group.</w:t>
            </w:r>
          </w:p>
          <w:bookmarkEnd w:id="59"/>
        </w:tc>
      </w:tr>
    </w:tbl>
    <w:p>
      <w:pPr>
        <w:pStyle w:val="BodyText"/>
      </w:pPr>
      <w:r>
        <w:t xml:space="preserve">Instructions to applicants vary by the rank of the position advertised</w:t>
      </w:r>
      <w:r>
        <w:t xml:space="preserve"> </w:t>
      </w:r>
      <w:hyperlink w:anchor="fig-requirements-by-position">
        <w:r>
          <w:rPr>
            <w:rStyle w:val="Hyperlink"/>
          </w:rPr>
          <w:t xml:space="preserve">Figure 8</w:t>
        </w:r>
      </w:hyperlink>
      <w:r>
        <w:t xml:space="preserve">.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bookmarkEnd w:id="60"/>
    <w:bookmarkEnd w:id="61"/>
    <w:bookmarkStart w:id="62" w:name="discussion"/>
    <w:p>
      <w:pPr>
        <w:pStyle w:val="Heading1"/>
      </w:pPr>
      <w:r>
        <w:t xml:space="preserve">Discussion</w:t>
      </w:r>
    </w:p>
    <w:p>
      <w:pPr>
        <w:pStyle w:val="FirstParagraph"/>
      </w:pPr>
      <w:r>
        <w:t xml:space="preserve">Our study of a decade of tenure-track job ads in archaeology in the US reveals diverse dynamics in the demand for specialisations in topics, methods and geographic focus, and in the instructions to applicants to these jobs</w:t>
      </w:r>
      <w:r>
        <w:t xml:space="preserve"> </w:t>
      </w:r>
      <w:r>
        <w:t xml:space="preserve">. While these dynamics are familiar to scholars actively seeking faculty jobs,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tenure-track jobs, maybe explained by a variety of processes. Overall, we found more tenure-track jobs advertised each year than non-tenure-track, with the exception of 2013-14. This is at odds with previous work that has shown that contingent positions make up more than half of faculty positions</w:t>
      </w:r>
      <w:r>
        <w:t xml:space="preserve"> </w:t>
      </w:r>
      <w:r>
        <w:t xml:space="preserve">(Colby, 2022)</w:t>
      </w:r>
      <w:r>
        <w:t xml:space="preserve">, and that these numbers are increasing between 2004 and 2019, there was a 36% increase in the replacement of tenure-track positions by contingent positions (</w:t>
      </w:r>
      <w:r>
        <w:rPr>
          <w:bCs/>
          <w:b/>
        </w:rPr>
        <w:t xml:space="preserve">AAUP 2022</w:t>
      </w:r>
      <w:r>
        <w:t xml:space="preserve">).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fields since 2013</w:t>
      </w:r>
      <w:r>
        <w:t xml:space="preserve"> </w:t>
      </w:r>
      <w:r>
        <w:t xml:space="preserve">(Cramb et al., 2022)</w:t>
      </w:r>
      <w:r>
        <w:t xml:space="preserve">.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w:t>
      </w:r>
      <w:r>
        <w:t xml:space="preserve"> </w:t>
      </w:r>
      <w:r>
        <w:t xml:space="preserve">(Woolston, 2020)</w:t>
      </w:r>
      <w:r>
        <w:t xml:space="preserve">. A survey of early career researchers in archaeology captures the impact of this dip, with three-quarters of respondents experiencing negative impacts on their careers due to the pandemic</w:t>
      </w:r>
      <w:r>
        <w:t xml:space="preserve"> </w:t>
      </w:r>
      <w:r>
        <w:t xml:space="preserve">(Brami et al., 2023)</w:t>
      </w:r>
    </w:p>
    <w:p>
      <w:pPr>
        <w:pStyle w:val="BodyText"/>
      </w:pPr>
      <w:r>
        <w:t xml:space="preserve">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topics and geographic foci of job ads were likely influenced by broader cultural movements such as Black Lives Matter, protests about racial injustice, and efforts to amplify Indigenous voices</w:t>
      </w:r>
      <w:r>
        <w:t xml:space="preserve"> </w:t>
      </w:r>
      <w:r>
        <w:t xml:space="preserve">(Dunivin et al., 2022; Flewellen et al., 2021; Franklin et al., 2020; Laluk et al., 2022)</w:t>
      </w:r>
      <w:r>
        <w:t xml:space="preserve">. COVID-19 negatively impacted Black, American Indian and Hispanic communities with significantly higher infection and morbidity rates, drawing attention to racial and socio-economic inequality in the US</w:t>
      </w:r>
      <w:r>
        <w:t xml:space="preserve"> </w:t>
      </w:r>
      <w:r>
        <w:t xml:space="preserve">(Mackey et al., 2021; Tai et al., 2021)</w:t>
      </w:r>
      <w:r>
        <w:t xml:space="preserve">.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However as it is illegal in the US for universities use race or ethnicity as a primary factor in hiring (due to the 1964 Civil Rights Act which prohibits hiring based solely on race or ethnicity), universities appear to have tailored the content of their job ads to focus on topics where they expect Black and Indigenous researchers to be most numerous, in an effort to ensure that these researchers would be well-represented in the pool of applicants. This striking change in topics and geographic foci of 2019-2021 occurred against a backdrop of several longer-term trends. Over the course of the study period, we document a gradual decline in topics such as the archaeology of complex societies and archaeological science, the goegraphic foci of Mesoamerica and South America, and methods relating to landscape archaeology. These trends are harder to explain as we cannot link their origins to a moment like COVID-19.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w:t>
      </w:r>
      <w:r>
        <w:t xml:space="preserve"> </w:t>
      </w:r>
      <w:r>
        <w:t xml:space="preserve">(Hodder, 1999; Johnson, 2019)</w:t>
      </w:r>
      <w:r>
        <w:t xml:space="preserve"> </w:t>
      </w:r>
      <w:r>
        <w:t xml:space="preserve">. This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increased interest in climate change, environmental sustainability, and resilience, which may have shifted attention away from the study of monumental architecture, elite societies, political hierarchies and state systems.</w:t>
      </w:r>
    </w:p>
    <w:p>
      <w:pPr>
        <w:pStyle w:val="BodyText"/>
      </w:pPr>
      <w:r>
        <w:t xml:space="preserve">Our data on the requirements for applicants support prior findings that the complexity of applications—and concomitantly, the labor required to apply for a tenure-track job—has gradually increased over time. This trend is especially pronounced for Assistant Professor positions, which make more demands on applicants than Associate and Full Professor positions. Consistent with results from other studies [@HelloTristesTropes2021]</w:t>
      </w:r>
      <w:r>
        <w:t xml:space="preserve"> </w:t>
      </w:r>
      <w:r>
        <w:t xml:space="preserve">, our study documented a growing demand for research and teaching statements. Demand for diversity statements shows a unique trajectory, peaking in 2020-2021 and declining into the present. This may relate to the intersecting concerns emerging during the COVID-19 pandemic, which may have reached a peak in 2020-2021 and then declined over time, resulting in dropping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w:t>
      </w:r>
      <w:r>
        <w:t xml:space="preserve"> </w:t>
      </w:r>
      <w:r>
        <w:t xml:space="preserve">(Guiden, 2024)</w:t>
      </w:r>
      <w:r>
        <w:t xml:space="preserve">. In our data we observed a reversal of the diversity statement requirement at 0 universities. Those schools posted job ads prior 2022 that did require a diversity statement and also posted an ad in 2022 that did not require one.</w:t>
      </w:r>
    </w:p>
    <w:p>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w:t>
      </w:r>
      <w:r>
        <w:t xml:space="preserve"> </w:t>
      </w:r>
      <w:r>
        <w:t xml:space="preserve">(e.g. Dennis et al., 2022)</w:t>
      </w:r>
      <w:r>
        <w:t xml:space="preserve">. In recognition of this burden, not only on applicants but also on colleagues writing letters of recommendation over and over to support applicants, many hiring committees now follow the recommendations of</w:t>
      </w:r>
      <w:r>
        <w:t xml:space="preserve"> </w:t>
      </w:r>
      <w:r>
        <w:t xml:space="preserve">Dennis et al. (2022)</w:t>
      </w:r>
      <w:r>
        <w:t xml:space="preserve"> </w:t>
      </w:r>
      <w:r>
        <w:t xml:space="preserve">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only from short-listed candidates (</w:t>
      </w:r>
      <w:r>
        <w:rPr>
          <w:bCs/>
          <w:b/>
        </w:rPr>
        <w:t xml:space="preserve">AAA Job Board Policies Citation)</w:t>
      </w:r>
      <w:r>
        <w:t xml:space="preserve"> </w:t>
      </w:r>
      <w:r>
        <w:t xml:space="preserve">(Mallin, 2020)</w:t>
      </w:r>
    </w:p>
    <w:p>
      <w:pPr>
        <w:pStyle w:val="BodyText"/>
      </w:pPr>
      <w:r>
        <w:t xml:space="preserve">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universities. Our results do not show how these aspirations worked out in the topical and geographic foci of the people who were eventually hired for these positions . Future work should consider interviewing faculty hired during our study period to match up people to the ads they responded to. If the successful applicants can be identified, then the match between the details of the job ad and the applicant’s research can be analyzed. Then we can assess how effective the hiring process is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bookmarkEnd w:id="62"/>
    <w:bookmarkStart w:id="63" w:name="conclusion"/>
    <w:p>
      <w:pPr>
        <w:pStyle w:val="Heading1"/>
      </w:pPr>
      <w:r>
        <w:t xml:space="preserve">Conclusion</w:t>
      </w:r>
    </w:p>
    <w:p>
      <w:pPr>
        <w:pStyle w:val="FirstParagraph"/>
      </w:pPr>
      <w:r>
        <w:t xml:space="preserve">Our results show that job ads offer a nuanced record of disciplinary history, documenting shifting trends in topics, methods, and geographic foci, with higher chronological resolution than many other sources, such as undergraduate textbooks</w:t>
      </w:r>
      <w:r>
        <w:t xml:space="preserve"> </w:t>
      </w:r>
      <w:r>
        <w:t xml:space="preserve">(Lyman, 2010)</w:t>
      </w:r>
      <w:r>
        <w:t xml:space="preserve">. The short periods of time spanning the rise and fall of some of the foci we observed has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is that a graduate student who has invested in developing technical expertise in a method during their studies, in addition to a topic and region, might be less exposed to the whims of the job market than a student without a distinct area of technical expertise.</w:t>
      </w:r>
    </w:p>
    <w:p>
      <w:pPr>
        <w:pStyle w:val="BodyText"/>
      </w:pPr>
      <w:r>
        <w:t xml:space="preserve">Jobs ads also demonstrate how archaeologists draw on current events and politics to prioritize topics, regions and methods in their hiring plans. This is consistent with prior findings, such</w:t>
      </w:r>
      <w:r>
        <w:t xml:space="preserve"> </w:t>
      </w:r>
      <w:r>
        <w:t xml:space="preserve">Wilk (1985)</w:t>
      </w:r>
      <w:r>
        <w:t xml:space="preserve">’s analysis of publications that found trends in explanations of Mayan collapse during the 1960s-1970s that correspond with major contemporary American political and social issues. This responsiveness to current events reveals that many archaeologists accept that our narratives of the past are entangled in the social and political milieu in which we work. Furthermore, it shows an active effort by archaeologists to take control of interpreting the past.</w:t>
      </w:r>
    </w:p>
    <w:bookmarkEnd w:id="63"/>
    <w:bookmarkStart w:id="64" w:name="acknowledgements"/>
    <w:p>
      <w:pPr>
        <w:pStyle w:val="Heading1"/>
      </w:pPr>
      <w:r>
        <w:t xml:space="preserve">Acknowledgements</w:t>
      </w:r>
    </w:p>
    <w:p>
      <w:r>
        <w:br w:type="page"/>
      </w:r>
    </w:p>
    <w:bookmarkEnd w:id="64"/>
    <w:bookmarkStart w:id="119" w:name="references"/>
    <w:p>
      <w:pPr>
        <w:pStyle w:val="Heading1"/>
      </w:pPr>
      <w:r>
        <w:t xml:space="preserve">References</w:t>
      </w:r>
    </w:p>
    <w:bookmarkStart w:id="117" w:name="refs"/>
    <w:bookmarkStart w:id="66" w:name="ref-bramiPrecariousFutureReflections2023"/>
    <w:p>
      <w:pPr>
        <w:pStyle w:val="Bibliography"/>
      </w:pPr>
      <w:r>
        <w:t xml:space="preserve">Brami, M., Emra, S., Muller, A., Preda-Bălănică, B., Irvine, B., Milić, B., Malagó, A., Meheux, K., Fernández-Götz, M., 2023. A Precarious Future: Reflections from a Survey of Early Career Researchers in Archaeology. European Journal of Archaeology 26, 226–250.</w:t>
      </w:r>
      <w:r>
        <w:t xml:space="preserve"> </w:t>
      </w:r>
      <w:hyperlink r:id="rId65">
        <w:r>
          <w:rPr>
            <w:rStyle w:val="Hyperlink"/>
          </w:rPr>
          <w:t xml:space="preserve">https://doi.org/10.1017/eaa.2022.41</w:t>
        </w:r>
      </w:hyperlink>
    </w:p>
    <w:bookmarkEnd w:id="66"/>
    <w:bookmarkStart w:id="67" w:name="ref-colby2022annual"/>
    <w:p>
      <w:pPr>
        <w:pStyle w:val="Bibliography"/>
      </w:pPr>
      <w:r>
        <w:t xml:space="preserve">Colby, G., 2022. The annual report on the economic status of the profession, 2021–22. Academe, Summer 74–111.</w:t>
      </w:r>
    </w:p>
    <w:bookmarkEnd w:id="67"/>
    <w:bookmarkStart w:id="69" w:name="ref-crambChangingProfileTenureTrack2022a"/>
    <w:p>
      <w:pPr>
        <w:pStyle w:val="Bibliography"/>
      </w:pPr>
      <w:r>
        <w:t xml:space="preserve">Cramb, J., Ritchison, B.T., Hadden, C.S., Zhang, Q., Alarcón-Tinajero, E., Chen, X., Jones, K.C., Jones, T., Napora, K., Veres, M., Thompson, V.D., 2022. The</w:t>
      </w:r>
      <w:r>
        <w:t xml:space="preserve"> </w:t>
      </w:r>
      <w:r>
        <w:t xml:space="preserve">Changing Profile</w:t>
      </w:r>
      <w:r>
        <w:t xml:space="preserve"> </w:t>
      </w:r>
      <w:r>
        <w:t xml:space="preserve">of</w:t>
      </w:r>
      <w:r>
        <w:t xml:space="preserve"> </w:t>
      </w:r>
      <w:r>
        <w:t xml:space="preserve">Tenure-Track Faculty</w:t>
      </w:r>
      <w:r>
        <w:t xml:space="preserve"> </w:t>
      </w:r>
      <w:r>
        <w:t xml:space="preserve">in</w:t>
      </w:r>
      <w:r>
        <w:t xml:space="preserve"> </w:t>
      </w:r>
      <w:r>
        <w:t xml:space="preserve">Archaeology</w:t>
      </w:r>
      <w:r>
        <w:t xml:space="preserve">. Advances in Archaeological Practice 10, 371–381.</w:t>
      </w:r>
      <w:r>
        <w:t xml:space="preserve"> </w:t>
      </w:r>
      <w:hyperlink r:id="rId68">
        <w:r>
          <w:rPr>
            <w:rStyle w:val="Hyperlink"/>
          </w:rPr>
          <w:t xml:space="preserve">https://doi.org/10.1017/aap.2022.8</w:t>
        </w:r>
      </w:hyperlink>
    </w:p>
    <w:bookmarkEnd w:id="69"/>
    <w:bookmarkStart w:id="71" w:name="ref-dennisWorstAnthroJob2022"/>
    <w:p>
      <w:pPr>
        <w:pStyle w:val="Bibliography"/>
      </w:pPr>
      <w:r>
        <w:t xml:space="preserve">Dennis, D., Docot, D., Gendron, D., Gershon, I., 2022. The</w:t>
      </w:r>
      <w:r>
        <w:t xml:space="preserve"> </w:t>
      </w:r>
      <w:r>
        <w:t xml:space="preserve">Worst</w:t>
      </w:r>
      <w:r>
        <w:t xml:space="preserve"> </w:t>
      </w:r>
      <w:r>
        <w:t xml:space="preserve">of</w:t>
      </w:r>
      <w:r>
        <w:t xml:space="preserve"> </w:t>
      </w:r>
      <w:r>
        <w:t xml:space="preserve">Anthro Job Ads</w:t>
      </w:r>
      <w:r>
        <w:t xml:space="preserve"> </w:t>
      </w:r>
      <w:r>
        <w:t xml:space="preserve">for 2021. American Anthropologist 124, 900–905.</w:t>
      </w:r>
      <w:r>
        <w:t xml:space="preserve"> </w:t>
      </w:r>
      <w:hyperlink r:id="rId70">
        <w:r>
          <w:rPr>
            <w:rStyle w:val="Hyperlink"/>
          </w:rPr>
          <w:t xml:space="preserve">https://doi.org/10.1111/aman.13781</w:t>
        </w:r>
      </w:hyperlink>
    </w:p>
    <w:bookmarkEnd w:id="71"/>
    <w:bookmarkStart w:id="73" w:name="ref-dunivinBlackLivesMatter2022"/>
    <w:p>
      <w:pPr>
        <w:pStyle w:val="Bibliography"/>
      </w:pPr>
      <w:r>
        <w:t xml:space="preserve">Dunivin, Z.O., Yan, H.Y., Ince, J., Rojas, F., 2022. Black lives matter protests shift public discourse. Proceedings of the National Academy of Sciences 119, e2117320119.</w:t>
      </w:r>
      <w:r>
        <w:t xml:space="preserve"> </w:t>
      </w:r>
      <w:hyperlink r:id="rId72">
        <w:r>
          <w:rPr>
            <w:rStyle w:val="Hyperlink"/>
          </w:rPr>
          <w:t xml:space="preserve">https://doi.org/10.1073/pnas.2117320119</w:t>
        </w:r>
      </w:hyperlink>
    </w:p>
    <w:bookmarkEnd w:id="73"/>
    <w:bookmarkStart w:id="75" w:name="X50d15868f2d8505c8a57296abe866e9e1e69b95"/>
    <w:p>
      <w:pPr>
        <w:pStyle w:val="Bibliography"/>
      </w:pPr>
      <w:r>
        <w:t xml:space="preserve">Flewellen, A.O., Dunnavant, J.P., Odewale, A., Jones, A., Wolde-Michael, T., Crossland, Z., Franklin, M., 2021.</w:t>
      </w:r>
      <w:r>
        <w:t xml:space="preserve"> </w:t>
      </w:r>
      <w:r>
        <w:t xml:space="preserve">“</w:t>
      </w:r>
      <w:r>
        <w:t xml:space="preserve">The Future of Archaeology Is Antiracist</w:t>
      </w:r>
      <w:r>
        <w:t xml:space="preserve">”</w:t>
      </w:r>
      <w:r>
        <w:t xml:space="preserve">: Archaeology in the Time of Black Lives Matter. American Antiquity 86, 224–243.</w:t>
      </w:r>
      <w:r>
        <w:t xml:space="preserve"> </w:t>
      </w:r>
      <w:hyperlink r:id="rId74">
        <w:r>
          <w:rPr>
            <w:rStyle w:val="Hyperlink"/>
          </w:rPr>
          <w:t xml:space="preserve">https://doi.org/10.1017/aaq.2021.18</w:t>
        </w:r>
      </w:hyperlink>
    </w:p>
    <w:bookmarkEnd w:id="75"/>
    <w:bookmarkStart w:id="77" w:name="ref-franklinFutureNowArchaeology2020"/>
    <w:p>
      <w:pPr>
        <w:pStyle w:val="Bibliography"/>
      </w:pPr>
      <w:r>
        <w:t xml:space="preserve">Franklin, M., Dunnavant, J.P., Flewellen, A.O., Odewale, A., 2020. The Future is Now: Archaeology and the Eradication of Anti-Blackness. International Journal of Historical Archaeology 24, 753–766.</w:t>
      </w:r>
      <w:r>
        <w:t xml:space="preserve"> </w:t>
      </w:r>
      <w:hyperlink r:id="rId76">
        <w:r>
          <w:rPr>
            <w:rStyle w:val="Hyperlink"/>
          </w:rPr>
          <w:t xml:space="preserve">https://doi.org/10.1007/s10761-020-00577-1</w:t>
        </w:r>
      </w:hyperlink>
    </w:p>
    <w:bookmarkEnd w:id="77"/>
    <w:bookmarkStart w:id="79" w:name="ref-HelloTristesTropes2021"/>
    <w:p>
      <w:pPr>
        <w:pStyle w:val="Bibliography"/>
      </w:pPr>
      <w:r>
        <w:t xml:space="preserve">Gershon, I., Rachok, D., 2021. Hello to</w:t>
      </w:r>
      <w:r>
        <w:t xml:space="preserve"> </w:t>
      </w:r>
      <w:r>
        <w:t xml:space="preserve">Tristes Tropes</w:t>
      </w:r>
      <w:r>
        <w:t xml:space="preserve"> </w:t>
      </w:r>
      <w:r>
        <w:t xml:space="preserve">[WWW Document]. URL</w:t>
      </w:r>
      <w:r>
        <w:t xml:space="preserve"> </w:t>
      </w:r>
      <w:hyperlink r:id="rId78">
        <w:r>
          <w:rPr>
            <w:rStyle w:val="Hyperlink"/>
          </w:rPr>
          <w:t xml:space="preserve">https://www.anthropology-news.org/articles/hello-to-tristes-tropes/</w:t>
        </w:r>
      </w:hyperlink>
      <w:r>
        <w:t xml:space="preserve"> </w:t>
      </w:r>
      <w:r>
        <w:t xml:space="preserve">(accessed 8.2.2022).</w:t>
      </w:r>
    </w:p>
    <w:bookmarkEnd w:id="79"/>
    <w:bookmarkStart w:id="81" w:name="ref-Ghaffarzadegan_2015"/>
    <w:p>
      <w:pPr>
        <w:pStyle w:val="Bibliography"/>
      </w:pPr>
      <w:r>
        <w:t xml:space="preserve">Ghaffarzadegan, N., Hawley, J., Larson, R., Xue, Y., 2015. A note on PhD population growth in biomedical sciences. Systems Research and Behavioral Science 32, 402–405.</w:t>
      </w:r>
      <w:r>
        <w:t xml:space="preserve"> </w:t>
      </w:r>
      <w:hyperlink r:id="rId80">
        <w:r>
          <w:rPr>
            <w:rStyle w:val="Hyperlink"/>
          </w:rPr>
          <w:t xml:space="preserve">https://doi.org/10.1002/sres.2324</w:t>
        </w:r>
      </w:hyperlink>
    </w:p>
    <w:bookmarkEnd w:id="81"/>
    <w:bookmarkStart w:id="82" w:name="ref-griffin2000native"/>
    <w:p>
      <w:pPr>
        <w:pStyle w:val="Bibliography"/>
      </w:pPr>
      <w:r>
        <w:t xml:space="preserve">Griffin-Pierce, T., 2000. Native peoples of the southwest. UNM Press.</w:t>
      </w:r>
    </w:p>
    <w:bookmarkEnd w:id="82"/>
    <w:bookmarkStart w:id="84" w:name="ref-guidenAreDiversityStatements"/>
    <w:p>
      <w:pPr>
        <w:pStyle w:val="Bibliography"/>
      </w:pPr>
      <w:r>
        <w:t xml:space="preserve">Guiden, M., 2024. Are</w:t>
      </w:r>
      <w:r>
        <w:t xml:space="preserve"> </w:t>
      </w:r>
      <w:r>
        <w:t xml:space="preserve">Diversity Statements</w:t>
      </w:r>
      <w:r>
        <w:t xml:space="preserve"> </w:t>
      </w:r>
      <w:r>
        <w:t xml:space="preserve">a</w:t>
      </w:r>
      <w:r>
        <w:t xml:space="preserve"> </w:t>
      </w:r>
      <w:r>
        <w:t xml:space="preserve">Thing</w:t>
      </w:r>
      <w:r>
        <w:t xml:space="preserve"> </w:t>
      </w:r>
      <w:r>
        <w:t xml:space="preserve">of the</w:t>
      </w:r>
      <w:r>
        <w:t xml:space="preserve"> </w:t>
      </w:r>
      <w:r>
        <w:t xml:space="preserve">Past</w:t>
      </w:r>
      <w:r>
        <w:t xml:space="preserve">?</w:t>
      </w:r>
      <w:r>
        <w:t xml:space="preserve"> </w:t>
      </w:r>
      <w:r>
        <w:t xml:space="preserve">Harvard</w:t>
      </w:r>
      <w:r>
        <w:t xml:space="preserve"> </w:t>
      </w:r>
      <w:r>
        <w:t xml:space="preserve">is the</w:t>
      </w:r>
      <w:r>
        <w:t xml:space="preserve"> </w:t>
      </w:r>
      <w:r>
        <w:t xml:space="preserve">Latest</w:t>
      </w:r>
      <w:r>
        <w:t xml:space="preserve"> </w:t>
      </w:r>
      <w:r>
        <w:t xml:space="preserve">to</w:t>
      </w:r>
      <w:r>
        <w:t xml:space="preserve"> </w:t>
      </w:r>
      <w:r>
        <w:t xml:space="preserve">Drop This Requirement</w:t>
      </w:r>
      <w:r>
        <w:t xml:space="preserve"> </w:t>
      </w:r>
      <w:r>
        <w:t xml:space="preserve">for</w:t>
      </w:r>
      <w:r>
        <w:t xml:space="preserve"> </w:t>
      </w:r>
      <w:r>
        <w:t xml:space="preserve">Job Applicants</w:t>
      </w:r>
      <w:r>
        <w:t xml:space="preserve"> </w:t>
      </w:r>
      <w:r>
        <w:t xml:space="preserve">[WWW Document]. URL</w:t>
      </w:r>
      <w:r>
        <w:t xml:space="preserve"> </w:t>
      </w:r>
      <w:hyperlink r:id="rId83">
        <w:r>
          <w:rPr>
            <w:rStyle w:val="Hyperlink"/>
          </w:rPr>
          <w:t xml:space="preserve">https://www.higheredjobs.com/Articles/articleDisplay.cfm?ID=3948</w:t>
        </w:r>
      </w:hyperlink>
      <w:r>
        <w:t xml:space="preserve"> </w:t>
      </w:r>
      <w:r>
        <w:t xml:space="preserve">(accessed 11.1.2024).</w:t>
      </w:r>
    </w:p>
    <w:bookmarkEnd w:id="84"/>
    <w:bookmarkStart w:id="85" w:name="Xef0e7a127f6822546c3d4a669f6ff6206ffa76f"/>
    <w:p>
      <w:pPr>
        <w:pStyle w:val="Bibliography"/>
      </w:pPr>
      <w:r>
        <w:t xml:space="preserve">Hodder, I., 1999. The archaeological process: An introduction. Blackwell, Oxford.</w:t>
      </w:r>
    </w:p>
    <w:bookmarkEnd w:id="85"/>
    <w:bookmarkStart w:id="86" w:name="ref-johnson2019archaeological"/>
    <w:p>
      <w:pPr>
        <w:pStyle w:val="Bibliography"/>
      </w:pPr>
      <w:r>
        <w:t xml:space="preserve">Johnson, M., 2019. Archaeological theory: An introduction. John Wiley &amp; Sons.</w:t>
      </w:r>
    </w:p>
    <w:bookmarkEnd w:id="86"/>
    <w:bookmarkStart w:id="88" w:name="ref-kawaSocialNetworkUS2019"/>
    <w:p>
      <w:pPr>
        <w:pStyle w:val="Bibliography"/>
      </w:pPr>
      <w:r>
        <w:t xml:space="preserve">Kawa, N.C., Clavijo Michelangeli, J.A., Clark, J.L., Ginsberg, D., McCarty, C., 2019. The</w:t>
      </w:r>
      <w:r>
        <w:t xml:space="preserve"> </w:t>
      </w:r>
      <w:r>
        <w:t xml:space="preserve">Social Network</w:t>
      </w:r>
      <w:r>
        <w:t xml:space="preserve"> </w:t>
      </w:r>
      <w:r>
        <w:t xml:space="preserve">of</w:t>
      </w:r>
      <w:r>
        <w:t xml:space="preserve"> </w:t>
      </w:r>
      <w:r>
        <w:t xml:space="preserve">US Academic Anthropology</w:t>
      </w:r>
      <w:r>
        <w:t xml:space="preserve"> </w:t>
      </w:r>
      <w:r>
        <w:t xml:space="preserve">and</w:t>
      </w:r>
      <w:r>
        <w:t xml:space="preserve"> </w:t>
      </w:r>
      <w:r>
        <w:t xml:space="preserve">Its Inequalities</w:t>
      </w:r>
      <w:r>
        <w:t xml:space="preserve">. American Anthropologist 121, 14–29.</w:t>
      </w:r>
      <w:r>
        <w:t xml:space="preserve"> </w:t>
      </w:r>
      <w:hyperlink r:id="rId87">
        <w:r>
          <w:rPr>
            <w:rStyle w:val="Hyperlink"/>
          </w:rPr>
          <w:t xml:space="preserve">https://doi.org/10.1111/aman.13158</w:t>
        </w:r>
      </w:hyperlink>
    </w:p>
    <w:bookmarkEnd w:id="88"/>
    <w:bookmarkStart w:id="90" w:name="ref-lalukArchaeologySocialJustice2022"/>
    <w:p>
      <w:pPr>
        <w:pStyle w:val="Bibliography"/>
      </w:pPr>
      <w:r>
        <w:t xml:space="preserve">Laluk, N.C., Montgomery, L.M., Tsosie, R., McCleave, C., Miron, R., Carroll, S.R., Aguilar, J., Thompson, A.B.W., Nelson, P., Sunseri, J., Trujillo, I., DeAntoni, G.M., Castro, G., Schneider, T.D., 2022. Archaeology and Social Justice in Native America. American Antiquity 87, 659–682.</w:t>
      </w:r>
      <w:r>
        <w:t xml:space="preserve"> </w:t>
      </w:r>
      <w:hyperlink r:id="rId89">
        <w:r>
          <w:rPr>
            <w:rStyle w:val="Hyperlink"/>
          </w:rPr>
          <w:t xml:space="preserve">https://doi.org/10.1017/aaq.2022.59</w:t>
        </w:r>
      </w:hyperlink>
    </w:p>
    <w:bookmarkEnd w:id="90"/>
    <w:bookmarkStart w:id="91" w:name="ref-lightfoot2021preparing"/>
    <w:p>
      <w:pPr>
        <w:pStyle w:val="Bibliography"/>
      </w:pPr>
      <w:r>
        <w:t xml:space="preserve">Lightfoot, E., Franklin, C., Beltran, R., 2021. Preparing for the academic job market: A guide for social work doctoral students and their mentors. Journal of Social Work Education 57, 153–164.</w:t>
      </w:r>
    </w:p>
    <w:bookmarkEnd w:id="91"/>
    <w:bookmarkStart w:id="92" w:name="ref-lyman2010american"/>
    <w:p>
      <w:pPr>
        <w:pStyle w:val="Bibliography"/>
      </w:pPr>
      <w:r>
        <w:t xml:space="preserve">Lyman, R.L., 2010. American archaeology textbooks as reflections of the history of the discipline. North American Archaeologist 31, 1–25.</w:t>
      </w:r>
    </w:p>
    <w:bookmarkEnd w:id="92"/>
    <w:bookmarkStart w:id="94" w:name="ref-mackeyRacialEthnicDisparities2021"/>
    <w:p>
      <w:pPr>
        <w:pStyle w:val="Bibliography"/>
      </w:pPr>
      <w:r>
        <w:t xml:space="preserve">Mackey, K., Ayers, C.K., Kondo, K.K., Saha, S., Advani, S.M., Young, S., Spencer, H., Rusek, M., Anderson, J., Veazie, S., Smith, M., Kansagara, D., 2021. Racial and ethnic disparities in COVID-19</w:t>
      </w:r>
      <w:r>
        <w:t xml:space="preserve">related infections, hospitalizations, and deaths. Annals of Internal Medicine 174, 362–373.</w:t>
      </w:r>
      <w:r>
        <w:t xml:space="preserve"> </w:t>
      </w:r>
      <w:hyperlink r:id="rId93">
        <w:r>
          <w:rPr>
            <w:rStyle w:val="Hyperlink"/>
          </w:rPr>
          <w:t xml:space="preserve">https://doi.org/10.7326/M20-6306</w:t>
        </w:r>
      </w:hyperlink>
    </w:p>
    <w:bookmarkEnd w:id="94"/>
    <w:bookmarkStart w:id="96" w:name="ref-mackieMarketShareAccounting2023"/>
    <w:p>
      <w:pPr>
        <w:pStyle w:val="Bibliography"/>
      </w:pPr>
      <w:r>
        <w:t xml:space="preserve">Mackie, M.E., Rockwell, H., 2023. Beyond market share: Accounting for doctoral program size in recent rates of anthropology faculty job placement. PLOS ONE 18, e0285330.</w:t>
      </w:r>
      <w:r>
        <w:t xml:space="preserve"> </w:t>
      </w:r>
      <w:hyperlink r:id="rId95">
        <w:r>
          <w:rPr>
            <w:rStyle w:val="Hyperlink"/>
          </w:rPr>
          <w:t xml:space="preserve">https://doi.org/10.1371/journal.pone.0285330</w:t>
        </w:r>
      </w:hyperlink>
    </w:p>
    <w:bookmarkEnd w:id="96"/>
    <w:bookmarkStart w:id="98" w:name="ref-mallinLetsMakeAcademic2020"/>
    <w:p>
      <w:pPr>
        <w:pStyle w:val="Bibliography"/>
      </w:pPr>
      <w:r>
        <w:t xml:space="preserve">Mallin, S., 2020.</w:t>
      </w:r>
      <w:r>
        <w:t xml:space="preserve"> </w:t>
      </w:r>
      <w:hyperlink r:id="rId97">
        <w:r>
          <w:rPr>
            <w:rStyle w:val="Hyperlink"/>
          </w:rPr>
          <w:t xml:space="preserve">Let’s make the academic job market more humane</w:t>
        </w:r>
      </w:hyperlink>
      <w:r>
        <w:t xml:space="preserve">.</w:t>
      </w:r>
    </w:p>
    <w:bookmarkEnd w:id="98"/>
    <w:bookmarkStart w:id="100" w:name="ref-morganReadyNotArchaeological2023"/>
    <w:p>
      <w:pPr>
        <w:pStyle w:val="Bibliography"/>
      </w:pPr>
      <w:r>
        <w:t xml:space="preserve">Morgan, R., 2023. Ready or Not: An Archaeological Knowledge, Skills, and Abilities Needs Assessment. Advances in Archaeological Practice 11, 371–387.</w:t>
      </w:r>
      <w:r>
        <w:t xml:space="preserve"> </w:t>
      </w:r>
      <w:hyperlink r:id="rId99">
        <w:r>
          <w:rPr>
            <w:rStyle w:val="Hyperlink"/>
          </w:rPr>
          <w:t xml:space="preserve">https://doi.org/10.1017/aap.2023.21</w:t>
        </w:r>
      </w:hyperlink>
    </w:p>
    <w:bookmarkEnd w:id="100"/>
    <w:bookmarkStart w:id="101" w:name="ref-musial2018five"/>
    <w:p>
      <w:pPr>
        <w:pStyle w:val="Bibliography"/>
      </w:pPr>
      <w:r>
        <w:t xml:space="preserve">Musial, J., Holmes, C., 2018. Five-year study on hiring trends in gender, women’s, and feminist studies. Feminist Studies 44, 253–272.</w:t>
      </w:r>
    </w:p>
    <w:bookmarkEnd w:id="101"/>
    <w:bookmarkStart w:id="103" w:name="ref-Passalacqua_2018"/>
    <w:p>
      <w:pPr>
        <w:pStyle w:val="Bibliography"/>
      </w:pPr>
      <w:r>
        <w:t xml:space="preserve">Passalacqua, N.V., 2018. Are careers in biological anthropology sustainable? American Journal of Physical Anthropology 166, 772–776.</w:t>
      </w:r>
      <w:r>
        <w:t xml:space="preserve"> </w:t>
      </w:r>
      <w:hyperlink r:id="rId102">
        <w:r>
          <w:rPr>
            <w:rStyle w:val="Hyperlink"/>
          </w:rPr>
          <w:t xml:space="preserve">https://doi.org/10.1002/ajpa.23457</w:t>
        </w:r>
      </w:hyperlink>
    </w:p>
    <w:bookmarkEnd w:id="103"/>
    <w:bookmarkStart w:id="105" w:name="ref-platzerAcademicPrecarityAmerican2018"/>
    <w:p>
      <w:pPr>
        <w:pStyle w:val="Bibliography"/>
      </w:pPr>
      <w:r>
        <w:t xml:space="preserve">Platzer, D., Allison, A., 2018. Academic</w:t>
      </w:r>
      <w:r>
        <w:t xml:space="preserve"> </w:t>
      </w:r>
      <w:r>
        <w:t xml:space="preserve">Precarity</w:t>
      </w:r>
      <w:r>
        <w:t xml:space="preserve"> </w:t>
      </w:r>
      <w:r>
        <w:t xml:space="preserve">in</w:t>
      </w:r>
      <w:r>
        <w:t xml:space="preserve"> </w:t>
      </w:r>
      <w:r>
        <w:t xml:space="preserve">American Anthropology</w:t>
      </w:r>
      <w:r>
        <w:t xml:space="preserve"> </w:t>
      </w:r>
      <w:r>
        <w:t xml:space="preserve">[WWW Document]. URL</w:t>
      </w:r>
      <w:r>
        <w:t xml:space="preserve"> </w:t>
      </w:r>
      <w:hyperlink r:id="rId104">
        <w:r>
          <w:rPr>
            <w:rStyle w:val="Hyperlink"/>
          </w:rPr>
          <w:t xml:space="preserve">https://culanth.org/fieldsights/academic-precarity-in-american-anthropology</w:t>
        </w:r>
      </w:hyperlink>
      <w:r>
        <w:t xml:space="preserve"> </w:t>
      </w:r>
      <w:r>
        <w:t xml:space="preserve">(accessed 10.31.2024).</w:t>
      </w:r>
    </w:p>
    <w:bookmarkEnd w:id="105"/>
    <w:bookmarkStart w:id="106" w:name="ref-soucek2021diversity"/>
    <w:p>
      <w:pPr>
        <w:pStyle w:val="Bibliography"/>
      </w:pPr>
      <w:r>
        <w:t xml:space="preserve">Soucek, B., 2021. Diversity statements. UC Davis L. Rev. 55, 1989.</w:t>
      </w:r>
    </w:p>
    <w:bookmarkEnd w:id="106"/>
    <w:bookmarkStart w:id="107" w:name="ref-speakman2018choosing"/>
    <w:p>
      <w:pPr>
        <w:pStyle w:val="Bibliography"/>
      </w:pPr>
      <w:r>
        <w:t xml:space="preserve">Speakman, R.J., Hadden, C.S., Colvin, M.H., Cramb, J., Jones, K., Jones, T.W., Kling, C.L., Lulewicz, I., Napora, K.G., Reinberger, K.L., others, 2018. Choosing a path to the ancient world in a modern market: The reality of faculty jobs in archaeology. American Antiquity 83, 1–12.</w:t>
      </w:r>
    </w:p>
    <w:bookmarkEnd w:id="107"/>
    <w:bookmarkStart w:id="109" w:name="ref-taiDisproportionateImpactCOVID192021"/>
    <w:p>
      <w:pPr>
        <w:pStyle w:val="Bibliography"/>
      </w:pPr>
      <w:r>
        <w:t xml:space="preserve">Tai, D.B.G., Shah, A., Doubeni, C.A., Sia, I.G., Wieland, M.L., 2021. The disproportionate impact of COVID-19 on racial and ethnic minorities in the united states. Clinical Infectious Diseases 72, 703–706.</w:t>
      </w:r>
      <w:r>
        <w:t xml:space="preserve"> </w:t>
      </w:r>
      <w:hyperlink r:id="rId108">
        <w:r>
          <w:rPr>
            <w:rStyle w:val="Hyperlink"/>
          </w:rPr>
          <w:t xml:space="preserve">https://doi.org/10.1093/cid/ciaa815</w:t>
        </w:r>
      </w:hyperlink>
    </w:p>
    <w:bookmarkEnd w:id="109"/>
    <w:bookmarkStart w:id="111" w:name="ref-Trevithick2010"/>
    <w:p>
      <w:pPr>
        <w:pStyle w:val="Bibliography"/>
      </w:pPr>
      <w:r>
        <w:t xml:space="preserve">Trevithick, A., 2010. Anthropology and the new faculty majority:</w:t>
      </w:r>
      <w:r>
        <w:t xml:space="preserve"> </w:t>
      </w:r>
      <w:r>
        <w:t xml:space="preserve">Adjunct</w:t>
      </w:r>
      <w:r>
        <w:t xml:space="preserve"> </w:t>
      </w:r>
      <w:r>
        <w:t xml:space="preserve">and contingent labor. Anthropology News 51, 4–4.</w:t>
      </w:r>
      <w:r>
        <w:t xml:space="preserve"> </w:t>
      </w:r>
      <w:hyperlink r:id="rId110">
        <w:r>
          <w:rPr>
            <w:rStyle w:val="Hyperlink"/>
          </w:rPr>
          <w:t xml:space="preserve">https://doi.org/10.1111/j.1556-3502.2010.51904.x</w:t>
        </w:r>
      </w:hyperlink>
    </w:p>
    <w:bookmarkEnd w:id="111"/>
    <w:bookmarkStart w:id="113" w:name="Xcd31d39e5e719de1751c56e4e26f4a425729374"/>
    <w:p>
      <w:pPr>
        <w:pStyle w:val="Bibliography"/>
      </w:pPr>
      <w:r>
        <w:t xml:space="preserve">Wapman, K.H., Zhang, S., Clauset, A., Larremore, D.B., 2022. Quantifying hierarchy and dynamics in</w:t>
      </w:r>
      <w:r>
        <w:t xml:space="preserve"> </w:t>
      </w:r>
      <w:r>
        <w:t xml:space="preserve">US</w:t>
      </w:r>
      <w:r>
        <w:t xml:space="preserve"> </w:t>
      </w:r>
      <w:r>
        <w:t xml:space="preserve">faculty hiring and retention. Nature 610, 120–127.</w:t>
      </w:r>
      <w:r>
        <w:t xml:space="preserve"> </w:t>
      </w:r>
      <w:hyperlink r:id="rId112">
        <w:r>
          <w:rPr>
            <w:rStyle w:val="Hyperlink"/>
          </w:rPr>
          <w:t xml:space="preserve">https://doi.org/10.1038/s41586-022-05222-x</w:t>
        </w:r>
      </w:hyperlink>
    </w:p>
    <w:bookmarkEnd w:id="113"/>
    <w:bookmarkStart w:id="114" w:name="ref-wilk1985ancient"/>
    <w:p>
      <w:pPr>
        <w:pStyle w:val="Bibliography"/>
      </w:pPr>
      <w:r>
        <w:t xml:space="preserve">Wilk, R.R., 1985. The ancient maya and the political present. Journal of anthropological research 41, 307–326.</w:t>
      </w:r>
    </w:p>
    <w:bookmarkEnd w:id="114"/>
    <w:bookmarkStart w:id="116" w:name="ref-woolstonJuniorResearchersHit2020"/>
    <w:p>
      <w:pPr>
        <w:pStyle w:val="Bibliography"/>
      </w:pPr>
      <w:r>
        <w:t xml:space="preserve">Woolston, C., 2020. Junior researchers hit by coronavirus-triggered hiring freezes. Nature 582, 449–450.</w:t>
      </w:r>
      <w:r>
        <w:t xml:space="preserve"> </w:t>
      </w:r>
      <w:hyperlink r:id="rId115">
        <w:r>
          <w:rPr>
            <w:rStyle w:val="Hyperlink"/>
          </w:rPr>
          <w:t xml:space="preserve">https://doi.org/10.1038/d41586-020-01656-3</w:t>
        </w:r>
      </w:hyperlink>
    </w:p>
    <w:bookmarkEnd w:id="116"/>
    <w:bookmarkEnd w:id="117"/>
    <w:p>
      <w:r>
        <w:br w:type="page"/>
      </w:r>
    </w:p>
    <w:bookmarkStart w:id="118" w:name="colophon"/>
    <w:p>
      <w:pPr>
        <w:pStyle w:val="Heading3"/>
      </w:pPr>
      <w:r>
        <w:t xml:space="preserve">Colophon</w:t>
      </w:r>
    </w:p>
    <w:p>
      <w:pPr>
        <w:pStyle w:val="FirstParagraph"/>
      </w:pPr>
      <w:r>
        <w:t xml:space="preserve">This report was generated on 2025-01-21 08:05:30.468381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4.4.1 (2024-06-14)</w:t>
      </w:r>
      <w:r>
        <w:br/>
      </w:r>
      <w:r>
        <w:rPr>
          <w:rStyle w:val="VerbatimChar"/>
        </w:rPr>
        <w:t xml:space="preserve"> os       macOS Sonoma 14.6.1</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2025-01-21</w:t>
      </w:r>
      <w:r>
        <w:br/>
      </w:r>
      <w:r>
        <w:rPr>
          <w:rStyle w:val="VerbatimChar"/>
        </w:rPr>
        <w:t xml:space="preserve"> pandoc   3.2 @ /Applications/RStudio.app/Contents/Resources/app/quarto/bin/tools/x86_64/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archive        1.1.10   2024-11-08 [1] CRAN (R 4.4.1)</w:t>
      </w:r>
      <w:r>
        <w:br/>
      </w:r>
      <w:r>
        <w:rPr>
          <w:rStyle w:val="VerbatimChar"/>
        </w:rPr>
        <w:t xml:space="preserve"> beeswarm       0.4.0    2021-06-01 [1] CRAN (R 4.4.0)</w:t>
      </w:r>
      <w:r>
        <w:br/>
      </w:r>
      <w:r>
        <w:rPr>
          <w:rStyle w:val="VerbatimChar"/>
        </w:rPr>
        <w:t xml:space="preserve"> bit            4.5.0    2024-09-20 [1] CRAN (R 4.4.1)</w:t>
      </w:r>
      <w:r>
        <w:br/>
      </w:r>
      <w:r>
        <w:rPr>
          <w:rStyle w:val="VerbatimChar"/>
        </w:rPr>
        <w:t xml:space="preserve"> bit64          4.5.2    2024-09-22 [1] CRAN (R 4.4.1)</w:t>
      </w:r>
      <w:r>
        <w:br/>
      </w:r>
      <w:r>
        <w:rPr>
          <w:rStyle w:val="VerbatimChar"/>
        </w:rPr>
        <w:t xml:space="preserve"> cachem         1.1.0    2024-05-16 [1] CRAN (R 4.4.0)</w:t>
      </w:r>
      <w:r>
        <w:br/>
      </w:r>
      <w:r>
        <w:rPr>
          <w:rStyle w:val="VerbatimChar"/>
        </w:rPr>
        <w:t xml:space="preserve"> cellranger     1.1.0    2016-07-27 [1] CRAN (R 4.4.0)</w:t>
      </w:r>
      <w:r>
        <w:br/>
      </w:r>
      <w:r>
        <w:rPr>
          <w:rStyle w:val="VerbatimChar"/>
        </w:rPr>
        <w:t xml:space="preserve"> cli            3.6.3    2024-06-21 [1] CRAN (R 4.4.0)</w:t>
      </w:r>
      <w:r>
        <w:br/>
      </w:r>
      <w:r>
        <w:rPr>
          <w:rStyle w:val="VerbatimChar"/>
        </w:rPr>
        <w:t xml:space="preserve"> colorspace     2.1-1    2024-07-26 [1] CRAN (R 4.4.0)</w:t>
      </w:r>
      <w:r>
        <w:br/>
      </w:r>
      <w:r>
        <w:rPr>
          <w:rStyle w:val="VerbatimChar"/>
        </w:rPr>
        <w:t xml:space="preserve"> cowplot      * 1.1.3    2024-01-22 [1] CRAN (R 4.4.0)</w:t>
      </w:r>
      <w:r>
        <w:br/>
      </w:r>
      <w:r>
        <w:rPr>
          <w:rStyle w:val="VerbatimChar"/>
        </w:rPr>
        <w:t xml:space="preserve"> crayon         1.5.3    2024-06-20 [1] CRAN (R 4.4.0)</w:t>
      </w:r>
      <w:r>
        <w:br/>
      </w:r>
      <w:r>
        <w:rPr>
          <w:rStyle w:val="VerbatimChar"/>
        </w:rPr>
        <w:t xml:space="preserve"> data.table     1.16.2   2024-10-10 [1] CRAN (R 4.4.1)</w:t>
      </w:r>
      <w:r>
        <w:br/>
      </w:r>
      <w:r>
        <w:rPr>
          <w:rStyle w:val="VerbatimChar"/>
        </w:rPr>
        <w:t xml:space="preserve"> devtools       2.4.5    2022-10-11 [1] CRAN (R 4.4.0)</w:t>
      </w:r>
      <w:r>
        <w:br/>
      </w:r>
      <w:r>
        <w:rPr>
          <w:rStyle w:val="VerbatimChar"/>
        </w:rPr>
        <w:t xml:space="preserve"> digest         0.6.37   2024-08-19 [1] CRAN (R 4.4.1)</w:t>
      </w:r>
      <w:r>
        <w:br/>
      </w:r>
      <w:r>
        <w:rPr>
          <w:rStyle w:val="VerbatimChar"/>
        </w:rPr>
        <w:t xml:space="preserve"> dplyr        * 1.1.4    2023-11-17 [1] CRAN (R 4.4.0)</w:t>
      </w:r>
      <w:r>
        <w:br/>
      </w:r>
      <w:r>
        <w:rPr>
          <w:rStyle w:val="VerbatimChar"/>
        </w:rPr>
        <w:t xml:space="preserve"> ellipsis       0.3.2    2021-04-29 [1] CRAN (R 4.4.0)</w:t>
      </w:r>
      <w:r>
        <w:br/>
      </w:r>
      <w:r>
        <w:rPr>
          <w:rStyle w:val="VerbatimChar"/>
        </w:rPr>
        <w:t xml:space="preserve"> evaluate       1.0.1    2024-10-10 [1] CRAN (R 4.4.1)</w:t>
      </w:r>
      <w:r>
        <w:br/>
      </w:r>
      <w:r>
        <w:rPr>
          <w:rStyle w:val="VerbatimChar"/>
        </w:rPr>
        <w:t xml:space="preserve"> fansi          1.0.6    2023-12-08 [1] CRAN (R 4.4.0)</w:t>
      </w:r>
      <w:r>
        <w:br/>
      </w:r>
      <w:r>
        <w:rPr>
          <w:rStyle w:val="VerbatimChar"/>
        </w:rPr>
        <w:t xml:space="preserve"> farver         2.1.2    2024-05-13 [1] CRAN (R 4.4.0)</w:t>
      </w:r>
      <w:r>
        <w:br/>
      </w:r>
      <w:r>
        <w:rPr>
          <w:rStyle w:val="VerbatimChar"/>
        </w:rPr>
        <w:t xml:space="preserve"> fastmap        1.2.0    2024-05-15 [1] CRAN (R 4.4.0)</w:t>
      </w:r>
      <w:r>
        <w:br/>
      </w:r>
      <w:r>
        <w:rPr>
          <w:rStyle w:val="VerbatimChar"/>
        </w:rPr>
        <w:t xml:space="preserve"> fiftystater  * 1.0.1    2024-09-17 [1] Github (wmurphyrd/fiftystater@28e7fa5)</w:t>
      </w:r>
      <w:r>
        <w:br/>
      </w:r>
      <w:r>
        <w:rPr>
          <w:rStyle w:val="VerbatimChar"/>
        </w:rPr>
        <w:t xml:space="preserve"> forcats      * 1.0.0    2023-01-29 [1] CRAN (R 4.4.0)</w:t>
      </w:r>
      <w:r>
        <w:br/>
      </w:r>
      <w:r>
        <w:rPr>
          <w:rStyle w:val="VerbatimChar"/>
        </w:rPr>
        <w:t xml:space="preserve"> fs             1.6.5    2024-10-30 [1] CRAN (R 4.4.1)</w:t>
      </w:r>
      <w:r>
        <w:br/>
      </w:r>
      <w:r>
        <w:rPr>
          <w:rStyle w:val="VerbatimChar"/>
        </w:rPr>
        <w:t xml:space="preserve"> generics       0.1.3    2022-07-05 [1] CRAN (R 4.4.0)</w:t>
      </w:r>
      <w:r>
        <w:br/>
      </w:r>
      <w:r>
        <w:rPr>
          <w:rStyle w:val="VerbatimChar"/>
        </w:rPr>
        <w:t xml:space="preserve"> ggbeeswarm   * 0.7.2    2023-04-29 [1] CRAN (R 4.4.0)</w:t>
      </w:r>
      <w:r>
        <w:br/>
      </w:r>
      <w:r>
        <w:rPr>
          <w:rStyle w:val="VerbatimChar"/>
        </w:rPr>
        <w:t xml:space="preserve"> ggplot2      * 3.5.1    2024-04-23 [1] CRAN (R 4.4.0)</w:t>
      </w:r>
      <w:r>
        <w:br/>
      </w:r>
      <w:r>
        <w:rPr>
          <w:rStyle w:val="VerbatimChar"/>
        </w:rPr>
        <w:t xml:space="preserve"> ggrepel      * 0.9.6    2024-09-07 [1] CRAN (R 4.4.1)</w:t>
      </w:r>
      <w:r>
        <w:br/>
      </w:r>
      <w:r>
        <w:rPr>
          <w:rStyle w:val="VerbatimChar"/>
        </w:rPr>
        <w:t xml:space="preserve"> glue           1.8.0    2024-09-30 [1] CRAN (R 4.4.1)</w:t>
      </w:r>
      <w:r>
        <w:br/>
      </w:r>
      <w:r>
        <w:rPr>
          <w:rStyle w:val="VerbatimChar"/>
        </w:rPr>
        <w:t xml:space="preserve"> gridExtra      2.3      2017-09-09 [1] CRAN (R 4.4.0)</w:t>
      </w:r>
      <w:r>
        <w:br/>
      </w:r>
      <w:r>
        <w:rPr>
          <w:rStyle w:val="VerbatimChar"/>
        </w:rPr>
        <w:t xml:space="preserve"> gtable         0.3.6    2024-10-25 [1] CRAN (R 4.4.1)</w:t>
      </w:r>
      <w:r>
        <w:br/>
      </w:r>
      <w:r>
        <w:rPr>
          <w:rStyle w:val="VerbatimChar"/>
        </w:rPr>
        <w:t xml:space="preserve"> here         * 1.0.1    2020-12-13 [1] CRAN (R 4.4.0)</w:t>
      </w:r>
      <w:r>
        <w:br/>
      </w:r>
      <w:r>
        <w:rPr>
          <w:rStyle w:val="VerbatimChar"/>
        </w:rPr>
        <w:t xml:space="preserve"> hms            1.1.3    2023-03-21 [1] CRAN (R 4.4.0)</w:t>
      </w:r>
      <w:r>
        <w:br/>
      </w:r>
      <w:r>
        <w:rPr>
          <w:rStyle w:val="VerbatimChar"/>
        </w:rPr>
        <w:t xml:space="preserve"> htmltools      0.5.8.1  2024-04-04 [1] CRAN (R 4.4.0)</w:t>
      </w:r>
      <w:r>
        <w:br/>
      </w:r>
      <w:r>
        <w:rPr>
          <w:rStyle w:val="VerbatimChar"/>
        </w:rPr>
        <w:t xml:space="preserve"> htmlwidgets    1.6.4    2023-12-06 [1] CRAN (R 4.4.0)</w:t>
      </w:r>
      <w:r>
        <w:br/>
      </w:r>
      <w:r>
        <w:rPr>
          <w:rStyle w:val="VerbatimChar"/>
        </w:rPr>
        <w:t xml:space="preserve"> httpuv         1.6.15   2024-03-26 [1] CRAN (R 4.4.0)</w:t>
      </w:r>
      <w:r>
        <w:br/>
      </w:r>
      <w:r>
        <w:rPr>
          <w:rStyle w:val="VerbatimChar"/>
        </w:rPr>
        <w:t xml:space="preserve"> janitor        2.2.0    2023-02-02 [1] CRAN (R 4.4.0)</w:t>
      </w:r>
      <w:r>
        <w:br/>
      </w:r>
      <w:r>
        <w:rPr>
          <w:rStyle w:val="VerbatimChar"/>
        </w:rPr>
        <w:t xml:space="preserve"> jsonlite       1.8.9    2024-09-20 [1] CRAN (R 4.4.1)</w:t>
      </w:r>
      <w:r>
        <w:br/>
      </w:r>
      <w:r>
        <w:rPr>
          <w:rStyle w:val="VerbatimChar"/>
        </w:rPr>
        <w:t xml:space="preserve"> knitr          1.49     2024-11-08 [1] CRAN (R 4.4.1)</w:t>
      </w:r>
      <w:r>
        <w:br/>
      </w:r>
      <w:r>
        <w:rPr>
          <w:rStyle w:val="VerbatimChar"/>
        </w:rPr>
        <w:t xml:space="preserve"> labeling       0.4.3    2023-08-29 [1] CRAN (R 4.4.0)</w:t>
      </w:r>
      <w:r>
        <w:br/>
      </w:r>
      <w:r>
        <w:rPr>
          <w:rStyle w:val="VerbatimChar"/>
        </w:rPr>
        <w:t xml:space="preserve"> later          1.3.2    2023-12-06 [1] CRAN (R 4.4.0)</w:t>
      </w:r>
      <w:r>
        <w:br/>
      </w:r>
      <w:r>
        <w:rPr>
          <w:rStyle w:val="VerbatimChar"/>
        </w:rPr>
        <w:t xml:space="preserve"> lattice        0.22-6   2024-03-20 [1] CRAN (R 4.4.1)</w:t>
      </w:r>
      <w:r>
        <w:br/>
      </w:r>
      <w:r>
        <w:rPr>
          <w:rStyle w:val="VerbatimChar"/>
        </w:rPr>
        <w:t xml:space="preserve"> lifecycle      1.0.4    2023-11-07 [1] CRAN (R 4.4.0)</w:t>
      </w:r>
      <w:r>
        <w:br/>
      </w:r>
      <w:r>
        <w:rPr>
          <w:rStyle w:val="VerbatimChar"/>
        </w:rPr>
        <w:t xml:space="preserve"> lubridate    * 1.9.3    2023-09-27 [1] CRAN (R 4.4.0)</w:t>
      </w:r>
      <w:r>
        <w:br/>
      </w:r>
      <w:r>
        <w:rPr>
          <w:rStyle w:val="VerbatimChar"/>
        </w:rPr>
        <w:t xml:space="preserve"> magrittr       2.0.3    2022-03-30 [1] CRAN (R 4.4.0)</w:t>
      </w:r>
      <w:r>
        <w:br/>
      </w:r>
      <w:r>
        <w:rPr>
          <w:rStyle w:val="VerbatimChar"/>
        </w:rPr>
        <w:t xml:space="preserve"> mapproj        1.2.11   2023-01-12 [1] CRAN (R 4.4.0)</w:t>
      </w:r>
      <w:r>
        <w:br/>
      </w:r>
      <w:r>
        <w:rPr>
          <w:rStyle w:val="VerbatimChar"/>
        </w:rPr>
        <w:t xml:space="preserve"> maps           3.4.2.1  2024-11-10 [1] CRAN (R 4.4.1)</w:t>
      </w:r>
      <w:r>
        <w:br/>
      </w:r>
      <w:r>
        <w:rPr>
          <w:rStyle w:val="VerbatimChar"/>
        </w:rPr>
        <w:t xml:space="preserve"> Matrix         1.7-1    2024-10-18 [1] CRAN (R 4.4.1)</w:t>
      </w:r>
      <w:r>
        <w:br/>
      </w:r>
      <w:r>
        <w:rPr>
          <w:rStyle w:val="VerbatimChar"/>
        </w:rPr>
        <w:t xml:space="preserve"> memoise        2.0.1    2021-11-26 [1] CRAN (R 4.4.0)</w:t>
      </w:r>
      <w:r>
        <w:br/>
      </w:r>
      <w:r>
        <w:rPr>
          <w:rStyle w:val="VerbatimChar"/>
        </w:rPr>
        <w:t xml:space="preserve"> mgcv           1.9-1    2023-12-21 [1] CRAN (R 4.4.1)</w:t>
      </w:r>
      <w:r>
        <w:br/>
      </w:r>
      <w:r>
        <w:rPr>
          <w:rStyle w:val="VerbatimChar"/>
        </w:rPr>
        <w:t xml:space="preserve"> mime           0.12     2021-09-28 [1] CRAN (R 4.4.0)</w:t>
      </w:r>
      <w:r>
        <w:br/>
      </w:r>
      <w:r>
        <w:rPr>
          <w:rStyle w:val="VerbatimChar"/>
        </w:rPr>
        <w:t xml:space="preserve"> miniUI         0.1.1.1  2018-05-18 [1] CRAN (R 4.4.0)</w:t>
      </w:r>
      <w:r>
        <w:br/>
      </w:r>
      <w:r>
        <w:rPr>
          <w:rStyle w:val="VerbatimChar"/>
        </w:rPr>
        <w:t xml:space="preserve"> munsell        0.5.1    2024-04-01 [1] CRAN (R 4.4.0)</w:t>
      </w:r>
      <w:r>
        <w:br/>
      </w:r>
      <w:r>
        <w:rPr>
          <w:rStyle w:val="VerbatimChar"/>
        </w:rPr>
        <w:t xml:space="preserve"> nlme           3.1-166  2024-08-14 [1] CRAN (R 4.4.1)</w:t>
      </w:r>
      <w:r>
        <w:br/>
      </w:r>
      <w:r>
        <w:rPr>
          <w:rStyle w:val="VerbatimChar"/>
        </w:rPr>
        <w:t xml:space="preserve"> pillar         1.9.0    2023-03-22 [1] CRAN (R 4.4.0)</w:t>
      </w:r>
      <w:r>
        <w:br/>
      </w:r>
      <w:r>
        <w:rPr>
          <w:rStyle w:val="VerbatimChar"/>
        </w:rPr>
        <w:t xml:space="preserve"> pkgbuild       1.4.5    2024-10-28 [1] CRAN (R 4.4.1)</w:t>
      </w:r>
      <w:r>
        <w:br/>
      </w:r>
      <w:r>
        <w:rPr>
          <w:rStyle w:val="VerbatimChar"/>
        </w:rPr>
        <w:t xml:space="preserve"> pkgconfig      2.0.3    2019-09-22 [1] CRAN (R 4.4.0)</w:t>
      </w:r>
      <w:r>
        <w:br/>
      </w:r>
      <w:r>
        <w:rPr>
          <w:rStyle w:val="VerbatimChar"/>
        </w:rPr>
        <w:t xml:space="preserve"> pkgload        1.4.0    2024-06-28 [1] CRAN (R 4.4.0)</w:t>
      </w:r>
      <w:r>
        <w:br/>
      </w:r>
      <w:r>
        <w:rPr>
          <w:rStyle w:val="VerbatimChar"/>
        </w:rPr>
        <w:t xml:space="preserve"> png            0.1-8    2022-11-29 [1] CRAN (R 4.4.0)</w:t>
      </w:r>
      <w:r>
        <w:br/>
      </w:r>
      <w:r>
        <w:rPr>
          <w:rStyle w:val="VerbatimChar"/>
        </w:rPr>
        <w:t xml:space="preserve"> profvis        0.4.0    2024-09-20 [1] CRAN (R 4.4.1)</w:t>
      </w:r>
      <w:r>
        <w:br/>
      </w:r>
      <w:r>
        <w:rPr>
          <w:rStyle w:val="VerbatimChar"/>
        </w:rPr>
        <w:t xml:space="preserve"> promises       1.3.0    2024-04-05 [1] CRAN (R 4.4.0)</w:t>
      </w:r>
      <w:r>
        <w:br/>
      </w:r>
      <w:r>
        <w:rPr>
          <w:rStyle w:val="VerbatimChar"/>
        </w:rPr>
        <w:t xml:space="preserve"> purrr        * 1.0.2    2023-08-10 [1] CRAN (R 4.4.0)</w:t>
      </w:r>
      <w:r>
        <w:br/>
      </w:r>
      <w:r>
        <w:rPr>
          <w:rStyle w:val="VerbatimChar"/>
        </w:rPr>
        <w:t xml:space="preserve"> R6             2.5.1    2021-08-19 [1] CRAN (R 4.4.0)</w:t>
      </w:r>
      <w:r>
        <w:br/>
      </w:r>
      <w:r>
        <w:rPr>
          <w:rStyle w:val="VerbatimChar"/>
        </w:rPr>
        <w:t xml:space="preserve"> ragg           1.3.3    2024-09-11 [1] CRAN (R 4.4.1)</w:t>
      </w:r>
      <w:r>
        <w:br/>
      </w:r>
      <w:r>
        <w:rPr>
          <w:rStyle w:val="VerbatimChar"/>
        </w:rPr>
        <w:t xml:space="preserve"> RColorBrewer   1.1-3    2022-04-03 [1] CRAN (R 4.4.0)</w:t>
      </w:r>
      <w:r>
        <w:br/>
      </w:r>
      <w:r>
        <w:rPr>
          <w:rStyle w:val="VerbatimChar"/>
        </w:rPr>
        <w:t xml:space="preserve"> Rcpp           1.0.13-1 2024-11-02 [1] CRAN (R 4.4.1)</w:t>
      </w:r>
      <w:r>
        <w:br/>
      </w:r>
      <w:r>
        <w:rPr>
          <w:rStyle w:val="VerbatimChar"/>
        </w:rPr>
        <w:t xml:space="preserve"> readr        * 2.1.5    2024-01-10 [1] CRAN (R 4.4.0)</w:t>
      </w:r>
      <w:r>
        <w:br/>
      </w:r>
      <w:r>
        <w:rPr>
          <w:rStyle w:val="VerbatimChar"/>
        </w:rPr>
        <w:t xml:space="preserve"> readxl       * 1.4.3    2023-07-06 [1] CRAN (R 4.4.0)</w:t>
      </w:r>
      <w:r>
        <w:br/>
      </w:r>
      <w:r>
        <w:rPr>
          <w:rStyle w:val="VerbatimChar"/>
        </w:rPr>
        <w:t xml:space="preserve"> remotes        2.5.0    2024-03-17 [1] CRAN (R 4.4.0)</w:t>
      </w:r>
      <w:r>
        <w:br/>
      </w:r>
      <w:r>
        <w:rPr>
          <w:rStyle w:val="VerbatimChar"/>
        </w:rPr>
        <w:t xml:space="preserve"> rlang          1.1.4    2024-06-04 [1] CRAN (R 4.4.0)</w:t>
      </w:r>
      <w:r>
        <w:br/>
      </w:r>
      <w:r>
        <w:rPr>
          <w:rStyle w:val="VerbatimChar"/>
        </w:rPr>
        <w:t xml:space="preserve"> rlist        * 0.4.6.2  2021-09-03 [1] CRAN (R 4.4.0)</w:t>
      </w:r>
      <w:r>
        <w:br/>
      </w:r>
      <w:r>
        <w:rPr>
          <w:rStyle w:val="VerbatimChar"/>
        </w:rPr>
        <w:t xml:space="preserve"> rmarkdown      2.29     2024-11-04 [1] CRAN (R 4.4.1)</w:t>
      </w:r>
      <w:r>
        <w:br/>
      </w:r>
      <w:r>
        <w:rPr>
          <w:rStyle w:val="VerbatimChar"/>
        </w:rPr>
        <w:t xml:space="preserve"> rprojroot      2.0.4    2023-11-05 [1] CRAN (R 4.4.0)</w:t>
      </w:r>
      <w:r>
        <w:br/>
      </w:r>
      <w:r>
        <w:rPr>
          <w:rStyle w:val="VerbatimChar"/>
        </w:rPr>
        <w:t xml:space="preserve"> rstudioapi     0.17.1   2024-10-22 [1] CRAN (R 4.4.1)</w:t>
      </w:r>
      <w:r>
        <w:br/>
      </w:r>
      <w:r>
        <w:rPr>
          <w:rStyle w:val="VerbatimChar"/>
        </w:rPr>
        <w:t xml:space="preserve"> scales         1.3.0    2023-11-28 [1] CRAN (R 4.4.0)</w:t>
      </w:r>
      <w:r>
        <w:br/>
      </w:r>
      <w:r>
        <w:rPr>
          <w:rStyle w:val="VerbatimChar"/>
        </w:rPr>
        <w:t xml:space="preserve"> sessioninfo    1.2.2    2021-12-06 [1] CRAN (R 4.4.0)</w:t>
      </w:r>
      <w:r>
        <w:br/>
      </w:r>
      <w:r>
        <w:rPr>
          <w:rStyle w:val="VerbatimChar"/>
        </w:rPr>
        <w:t xml:space="preserve"> shiny          1.9.1    2024-08-01 [1] CRAN (R 4.4.0)</w:t>
      </w:r>
      <w:r>
        <w:br/>
      </w:r>
      <w:r>
        <w:rPr>
          <w:rStyle w:val="VerbatimChar"/>
        </w:rPr>
        <w:t xml:space="preserve"> snakecase      0.11.1   2023-08-27 [1] CRAN (R 4.4.0)</w:t>
      </w:r>
      <w:r>
        <w:br/>
      </w:r>
      <w:r>
        <w:rPr>
          <w:rStyle w:val="VerbatimChar"/>
        </w:rPr>
        <w:t xml:space="preserve"> stringi      * 1.8.4    2024-05-06 [1] CRAN (R 4.4.0)</w:t>
      </w:r>
      <w:r>
        <w:br/>
      </w:r>
      <w:r>
        <w:rPr>
          <w:rStyle w:val="VerbatimChar"/>
        </w:rPr>
        <w:t xml:space="preserve"> stringr      * 1.5.1    2023-11-14 [1] CRAN (R 4.4.0)</w:t>
      </w:r>
      <w:r>
        <w:br/>
      </w:r>
      <w:r>
        <w:rPr>
          <w:rStyle w:val="VerbatimChar"/>
        </w:rPr>
        <w:t xml:space="preserve"> systemfonts    1.1.0    2024-05-15 [1] CRAN (R 4.4.0)</w:t>
      </w:r>
      <w:r>
        <w:br/>
      </w:r>
      <w:r>
        <w:rPr>
          <w:rStyle w:val="VerbatimChar"/>
        </w:rPr>
        <w:t xml:space="preserve"> textshaping    0.4.0    2024-05-24 [1] CRAN (R 4.4.0)</w:t>
      </w:r>
      <w:r>
        <w:br/>
      </w:r>
      <w:r>
        <w:rPr>
          <w:rStyle w:val="VerbatimChar"/>
        </w:rPr>
        <w:t xml:space="preserve"> tibble       * 3.2.1    2023-03-20 [1] CRAN (R 4.4.0)</w:t>
      </w:r>
      <w:r>
        <w:br/>
      </w:r>
      <w:r>
        <w:rPr>
          <w:rStyle w:val="VerbatimChar"/>
        </w:rPr>
        <w:t xml:space="preserve"> tidyr        * 1.3.1    2024-01-24 [1] CRAN (R 4.4.0)</w:t>
      </w:r>
      <w:r>
        <w:br/>
      </w:r>
      <w:r>
        <w:rPr>
          <w:rStyle w:val="VerbatimChar"/>
        </w:rPr>
        <w:t xml:space="preserve"> tidyselect     1.2.1    2024-03-11 [1] CRAN (R 4.4.0)</w:t>
      </w:r>
      <w:r>
        <w:br/>
      </w:r>
      <w:r>
        <w:rPr>
          <w:rStyle w:val="VerbatimChar"/>
        </w:rPr>
        <w:t xml:space="preserve"> tidyverse    * 2.0.0    2023-02-22 [1] CRAN (R 4.4.0)</w:t>
      </w:r>
      <w:r>
        <w:br/>
      </w:r>
      <w:r>
        <w:rPr>
          <w:rStyle w:val="VerbatimChar"/>
        </w:rPr>
        <w:t xml:space="preserve"> timechange     0.3.0    2024-01-18 [1] CRAN (R 4.4.0)</w:t>
      </w:r>
      <w:r>
        <w:br/>
      </w:r>
      <w:r>
        <w:rPr>
          <w:rStyle w:val="VerbatimChar"/>
        </w:rPr>
        <w:t xml:space="preserve"> tzdb           0.4.0    2023-05-12 [1] CRAN (R 4.4.0)</w:t>
      </w:r>
      <w:r>
        <w:br/>
      </w:r>
      <w:r>
        <w:rPr>
          <w:rStyle w:val="VerbatimChar"/>
        </w:rPr>
        <w:t xml:space="preserve"> urlchecker     1.0.1    2021-11-30 [1] CRAN (R 4.4.0)</w:t>
      </w:r>
      <w:r>
        <w:br/>
      </w:r>
      <w:r>
        <w:rPr>
          <w:rStyle w:val="VerbatimChar"/>
        </w:rPr>
        <w:t xml:space="preserve"> usethis        3.0.0    2024-07-29 [1] CRAN (R 4.4.0)</w:t>
      </w:r>
      <w:r>
        <w:br/>
      </w:r>
      <w:r>
        <w:rPr>
          <w:rStyle w:val="VerbatimChar"/>
        </w:rPr>
        <w:t xml:space="preserve"> utf8           1.2.4    2023-10-22 [1] CRAN (R 4.4.0)</w:t>
      </w:r>
      <w:r>
        <w:br/>
      </w:r>
      <w:r>
        <w:rPr>
          <w:rStyle w:val="VerbatimChar"/>
        </w:rPr>
        <w:t xml:space="preserve"> vctrs          0.6.5    2023-12-01 [1] CRAN (R 4.4.0)</w:t>
      </w:r>
      <w:r>
        <w:br/>
      </w:r>
      <w:r>
        <w:rPr>
          <w:rStyle w:val="VerbatimChar"/>
        </w:rPr>
        <w:t xml:space="preserve"> vipor          0.4.7    2023-12-18 [1] CRAN (R 4.4.0)</w:t>
      </w:r>
      <w:r>
        <w:br/>
      </w:r>
      <w:r>
        <w:rPr>
          <w:rStyle w:val="VerbatimChar"/>
        </w:rPr>
        <w:t xml:space="preserve"> viridis      * 0.6.5    2024-01-29 [1] CRAN (R 4.4.0)</w:t>
      </w:r>
      <w:r>
        <w:br/>
      </w:r>
      <w:r>
        <w:rPr>
          <w:rStyle w:val="VerbatimChar"/>
        </w:rPr>
        <w:t xml:space="preserve"> viridisLite  * 0.4.2    2023-05-02 [1] CRAN (R 4.4.0)</w:t>
      </w:r>
      <w:r>
        <w:br/>
      </w:r>
      <w:r>
        <w:rPr>
          <w:rStyle w:val="VerbatimChar"/>
        </w:rPr>
        <w:t xml:space="preserve"> vroom          1.6.5    2023-12-05 [1] CRAN (R 4.4.0)</w:t>
      </w:r>
      <w:r>
        <w:br/>
      </w:r>
      <w:r>
        <w:rPr>
          <w:rStyle w:val="VerbatimChar"/>
        </w:rPr>
        <w:t xml:space="preserve"> withr          3.0.2    2024-10-28 [1] CRAN (R 4.4.1)</w:t>
      </w:r>
      <w:r>
        <w:br/>
      </w:r>
      <w:r>
        <w:rPr>
          <w:rStyle w:val="VerbatimChar"/>
        </w:rPr>
        <w:t xml:space="preserve"> xfun           0.49     2024-10-31 [1] CRAN (R 4.4.1)</w:t>
      </w:r>
      <w:r>
        <w:br/>
      </w:r>
      <w:r>
        <w:rPr>
          <w:rStyle w:val="VerbatimChar"/>
        </w:rPr>
        <w:t xml:space="preserve"> xtable         1.8-4    2019-04-21 [1] CRAN (R 4.4.0)</w:t>
      </w:r>
      <w:r>
        <w:br/>
      </w:r>
      <w:r>
        <w:rPr>
          <w:rStyle w:val="VerbatimChar"/>
        </w:rPr>
        <w:t xml:space="preserve"> yaml           2.3.10   2024-07-26 [1] CRAN (R 4.4.0)</w:t>
      </w:r>
      <w:r>
        <w:br/>
      </w:r>
      <w:r>
        <w:br/>
      </w:r>
      <w:r>
        <w:rPr>
          <w:rStyle w:val="VerbatimChar"/>
        </w:rPr>
        <w:t xml:space="preserve"> [1] /Library/Frameworks/R.framework/Versions/4.4-x86_64/Resources/library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main /Users/bmarwick/Downloads/archyjobads</w:t>
      </w:r>
      <w:r>
        <w:br/>
      </w:r>
      <w:r>
        <w:rPr>
          <w:rStyle w:val="VerbatimChar"/>
        </w:rPr>
        <w:t xml:space="preserve">Remote:   main @ origin (https://github.com/benmarwick/archyjobads)</w:t>
      </w:r>
      <w:r>
        <w:br/>
      </w:r>
      <w:r>
        <w:rPr>
          <w:rStyle w:val="VerbatimChar"/>
        </w:rPr>
        <w:t xml:space="preserve">Head:     [5c8b611] 2025-01-21: JB edits (final, hopefully, excepting references) on 21 January 2025</w:t>
      </w:r>
    </w:p>
    <w:bookmarkEnd w:id="118"/>
    <w:bookmarkEnd w:id="1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104" Target="https://culanth.org/fieldsights/academic-precarity-in-american-anthropology" TargetMode="External" /><Relationship Type="http://schemas.openxmlformats.org/officeDocument/2006/relationships/hyperlink" Id="rId102" Target="https://doi.org/10.1002/ajpa.23457" TargetMode="External" /><Relationship Type="http://schemas.openxmlformats.org/officeDocument/2006/relationships/hyperlink" Id="rId80" Target="https://doi.org/10.1002/sres.2324" TargetMode="External" /><Relationship Type="http://schemas.openxmlformats.org/officeDocument/2006/relationships/hyperlink" Id="rId76" Target="https://doi.org/10.1007/s10761-020-00577-1" TargetMode="External" /><Relationship Type="http://schemas.openxmlformats.org/officeDocument/2006/relationships/hyperlink" Id="rId68" Target="https://doi.org/10.1017/aap.2022.8" TargetMode="External" /><Relationship Type="http://schemas.openxmlformats.org/officeDocument/2006/relationships/hyperlink" Id="rId99" Target="https://doi.org/10.1017/aap.2023.21" TargetMode="External" /><Relationship Type="http://schemas.openxmlformats.org/officeDocument/2006/relationships/hyperlink" Id="rId74" Target="https://doi.org/10.1017/aaq.2021.18" TargetMode="External" /><Relationship Type="http://schemas.openxmlformats.org/officeDocument/2006/relationships/hyperlink" Id="rId89" Target="https://doi.org/10.1017/aaq.2022.59" TargetMode="External" /><Relationship Type="http://schemas.openxmlformats.org/officeDocument/2006/relationships/hyperlink" Id="rId65" Target="https://doi.org/10.1017/eaa.2022.41" TargetMode="External" /><Relationship Type="http://schemas.openxmlformats.org/officeDocument/2006/relationships/hyperlink" Id="rId115" Target="https://doi.org/10.1038/d41586-020-01656-3" TargetMode="External" /><Relationship Type="http://schemas.openxmlformats.org/officeDocument/2006/relationships/hyperlink" Id="rId112" Target="https://doi.org/10.1038/s41586-022-05222-x" TargetMode="External" /><Relationship Type="http://schemas.openxmlformats.org/officeDocument/2006/relationships/hyperlink" Id="rId72" Target="https://doi.org/10.1073/pnas.2117320119" TargetMode="External" /><Relationship Type="http://schemas.openxmlformats.org/officeDocument/2006/relationships/hyperlink" Id="rId108" Target="https://doi.org/10.1093/cid/ciaa815" TargetMode="External" /><Relationship Type="http://schemas.openxmlformats.org/officeDocument/2006/relationships/hyperlink" Id="rId87" Target="https://doi.org/10.1111/aman.13158" TargetMode="External" /><Relationship Type="http://schemas.openxmlformats.org/officeDocument/2006/relationships/hyperlink" Id="rId70" Target="https://doi.org/10.1111/aman.13781" TargetMode="External" /><Relationship Type="http://schemas.openxmlformats.org/officeDocument/2006/relationships/hyperlink" Id="rId110" Target="https://doi.org/10.1111/j.1556-3502.2010.51904.x" TargetMode="External" /><Relationship Type="http://schemas.openxmlformats.org/officeDocument/2006/relationships/hyperlink" Id="rId95" Target="https://doi.org/10.1371/journal.pone.0285330" TargetMode="External" /><Relationship Type="http://schemas.openxmlformats.org/officeDocument/2006/relationships/hyperlink" Id="rId93" Target="https://doi.org/10.7326/M20-6306" TargetMode="External" /><Relationship Type="http://schemas.openxmlformats.org/officeDocument/2006/relationships/hyperlink" Id="rId78" Target="https://www.anthropology-news.org/articles/hello-to-tristes-tropes/" TargetMode="External" /><Relationship Type="http://schemas.openxmlformats.org/officeDocument/2006/relationships/hyperlink" Id="rId97" Target="https://www.anthropology-news.org/articles/lets-make-the-academic-job-market-more-humane/" TargetMode="External" /><Relationship Type="http://schemas.openxmlformats.org/officeDocument/2006/relationships/hyperlink" Id="rId83" Target="https://www.higheredjobs.com/Articles/articleDisplay.cfm?ID=3948"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s://culanth.org/fieldsights/academic-precarity-in-american-anthropology" TargetMode="External" /><Relationship Type="http://schemas.openxmlformats.org/officeDocument/2006/relationships/hyperlink" Id="rId102" Target="https://doi.org/10.1002/ajpa.23457" TargetMode="External" /><Relationship Type="http://schemas.openxmlformats.org/officeDocument/2006/relationships/hyperlink" Id="rId80" Target="https://doi.org/10.1002/sres.2324" TargetMode="External" /><Relationship Type="http://schemas.openxmlformats.org/officeDocument/2006/relationships/hyperlink" Id="rId76" Target="https://doi.org/10.1007/s10761-020-00577-1" TargetMode="External" /><Relationship Type="http://schemas.openxmlformats.org/officeDocument/2006/relationships/hyperlink" Id="rId68" Target="https://doi.org/10.1017/aap.2022.8" TargetMode="External" /><Relationship Type="http://schemas.openxmlformats.org/officeDocument/2006/relationships/hyperlink" Id="rId99" Target="https://doi.org/10.1017/aap.2023.21" TargetMode="External" /><Relationship Type="http://schemas.openxmlformats.org/officeDocument/2006/relationships/hyperlink" Id="rId74" Target="https://doi.org/10.1017/aaq.2021.18" TargetMode="External" /><Relationship Type="http://schemas.openxmlformats.org/officeDocument/2006/relationships/hyperlink" Id="rId89" Target="https://doi.org/10.1017/aaq.2022.59" TargetMode="External" /><Relationship Type="http://schemas.openxmlformats.org/officeDocument/2006/relationships/hyperlink" Id="rId65" Target="https://doi.org/10.1017/eaa.2022.41" TargetMode="External" /><Relationship Type="http://schemas.openxmlformats.org/officeDocument/2006/relationships/hyperlink" Id="rId115" Target="https://doi.org/10.1038/d41586-020-01656-3" TargetMode="External" /><Relationship Type="http://schemas.openxmlformats.org/officeDocument/2006/relationships/hyperlink" Id="rId112" Target="https://doi.org/10.1038/s41586-022-05222-x" TargetMode="External" /><Relationship Type="http://schemas.openxmlformats.org/officeDocument/2006/relationships/hyperlink" Id="rId72" Target="https://doi.org/10.1073/pnas.2117320119" TargetMode="External" /><Relationship Type="http://schemas.openxmlformats.org/officeDocument/2006/relationships/hyperlink" Id="rId108" Target="https://doi.org/10.1093/cid/ciaa815" TargetMode="External" /><Relationship Type="http://schemas.openxmlformats.org/officeDocument/2006/relationships/hyperlink" Id="rId87" Target="https://doi.org/10.1111/aman.13158" TargetMode="External" /><Relationship Type="http://schemas.openxmlformats.org/officeDocument/2006/relationships/hyperlink" Id="rId70" Target="https://doi.org/10.1111/aman.13781" TargetMode="External" /><Relationship Type="http://schemas.openxmlformats.org/officeDocument/2006/relationships/hyperlink" Id="rId110" Target="https://doi.org/10.1111/j.1556-3502.2010.51904.x" TargetMode="External" /><Relationship Type="http://schemas.openxmlformats.org/officeDocument/2006/relationships/hyperlink" Id="rId95" Target="https://doi.org/10.1371/journal.pone.0285330" TargetMode="External" /><Relationship Type="http://schemas.openxmlformats.org/officeDocument/2006/relationships/hyperlink" Id="rId93" Target="https://doi.org/10.7326/M20-6306" TargetMode="External" /><Relationship Type="http://schemas.openxmlformats.org/officeDocument/2006/relationships/hyperlink" Id="rId78" Target="https://www.anthropology-news.org/articles/hello-to-tristes-tropes/" TargetMode="External" /><Relationship Type="http://schemas.openxmlformats.org/officeDocument/2006/relationships/hyperlink" Id="rId97" Target="https://www.anthropology-news.org/articles/lets-make-the-academic-job-market-more-humane/" TargetMode="External" /><Relationship Type="http://schemas.openxmlformats.org/officeDocument/2006/relationships/hyperlink" Id="rId83" Target="https://www.higheredjobs.com/Articles/articleDisplay.cfm?ID=3948"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dcterms:created xsi:type="dcterms:W3CDTF">2025-01-21T16:05:38Z</dcterms:created>
  <dcterms:modified xsi:type="dcterms:W3CDTF">2025-01-21T16:05:38Z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landing an academic career. Job listing websites often serve as the first place for these students when seeking academic positions. We examined tenure-track job advertisements over the past decade to gain insights into the academic job market for archaeologists. Using data from the community-edited Academic Jobs Wiki for Archaeology, we examine changes in the academic job market over time. We analyzed the text of 431 job ads posted from 2013–2023. Our analysis addresses the question of how have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and graduates in better understanding the job market and the requirements of employers, thereby aiding them in effectively preparing for their applications for positions in archaeology.</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21,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itle-block-published">
    <vt:lpwstr>Last updated</vt:lpwstr>
  </property>
  <property fmtid="{D5CDD505-2E9C-101B-9397-08002B2CF9AE}" pid="18" name="toc-title">
    <vt:lpwstr>Table of contents</vt:lpwstr>
  </property>
</Properties>
</file>